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Rule="auto"/>
        <w:jc w:val="both"/>
        <w:rPr/>
      </w:pPr>
      <w:r w:rsidDel="00000000" w:rsidR="00000000" w:rsidRPr="00000000">
        <w:rPr>
          <w:rtl w:val="0"/>
        </w:rPr>
        <w:t xml:space="preserve">Обучение ведется по следующим программам: 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Основы программирования на платформе 1С;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Программирование на JavaScript;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Программирование на языке С# для платформы NET Core;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РНР - программирование (Битрикс);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Основы объектно-ориентированного программирования на языке Java  и разработка мобильных приложений под Android;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Python-программирование;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Python для анализа данных;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Поиск и подготовка обучающих данных для нейросетевых моделей (подготовка дата-сетов).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