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42"/>
        </w:tabs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Пример (программа) инновинара</w:t>
      </w:r>
    </w:p>
    <w:p w:rsidR="00000000" w:rsidDel="00000000" w:rsidP="00000000" w:rsidRDefault="00000000" w:rsidRPr="00000000" w14:paraId="00000002">
      <w:pPr>
        <w:tabs>
          <w:tab w:val="left" w:pos="142"/>
        </w:tabs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 </w:t>
      </w:r>
      <w:r w:rsidDel="00000000" w:rsidR="00000000" w:rsidRPr="00000000">
        <w:rPr>
          <w:i w:val="1"/>
          <w:sz w:val="28"/>
          <w:szCs w:val="28"/>
          <w:rtl w:val="0"/>
        </w:rPr>
        <w:t xml:space="preserve">инновинара</w:t>
      </w:r>
      <w:r w:rsidDel="00000000" w:rsidR="00000000" w:rsidRPr="00000000">
        <w:rPr>
          <w:sz w:val="28"/>
          <w:szCs w:val="28"/>
          <w:rtl w:val="0"/>
        </w:rPr>
        <w:t xml:space="preserve"> включает в себя подготовку и ответы на темы по прочитанным произведениям. Например, инновинар по рассказам М. А. Горького «Старуха Изергиль» и «Макар Чудра»: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tabs>
          <w:tab w:val="left" w:pos="142"/>
        </w:tabs>
        <w:spacing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Сравнительный анализ образов Ларры и Данко из рассказа «Старуха Изергиль»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142"/>
        </w:tabs>
        <w:spacing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Характеристика образа старухи Изергиль в одноимённом произведении.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142"/>
        </w:tabs>
        <w:spacing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Идейно-художественное своеобразие рассказа «Старуха Изергиль».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142"/>
        </w:tabs>
        <w:spacing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Сравнительный анализ образов Лойки Зобара и Радды из рассказа «Макар Чудра».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142"/>
        </w:tabs>
        <w:spacing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Характеристика образа Макара Чудры в одноимённом произведении.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142"/>
        </w:tabs>
        <w:spacing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Особенности композиции в рассказах «Старуха Изергиль» и «Макар Чудра».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свободы и любви в анализируемых произведениях.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