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Borders>
              <w:top w:val="none"/>
              <w:left w:val="none"/>
              <w:bottom w:val="none"/>
              <w:right w:val="none"/>
            </w:tcBorders>
            <w:tcMar>
              <w:left w:w="80" w:type="dxa"/>
              <w:top w:w="60" w:type="dxa"/>
              <w:right w:w="80" w:type="dxa"/>
              <w:bottom w:w="60" w:type="dxa"/>
            </w:tcMar>
          </w:tcPr>
          <w:p>
            <w:pPr>
              <w:pStyle w:val="Style_6"/>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_x0000_s1"/>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2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Borders>
              <w:top w:val="none"/>
              <w:left w:val="none"/>
              <w:bottom w:val="none"/>
              <w:right w:val="none"/>
            </w:tcBorders>
            <w:tcMar>
              <w:left w:w="80" w:type="dxa"/>
              <w:top w:w="60" w:type="dxa"/>
              <w:right w:w="80" w:type="dxa"/>
              <w:bottom w:w="60" w:type="dxa"/>
            </w:tcMar>
            <w:vAlign w:val="center"/>
          </w:tcPr>
          <w:p>
            <w:pPr>
              <w:pStyle w:val="Style_6"/>
              <w:spacing w:before="0" w:after="0" w:line="240" w:lineRule="auto"/>
              <w:ind w:left="0" w:firstLine="0"/>
              <w:jc w:val="center"/>
              <w:rPr>
                <w:rFonts w:ascii="Tahoma" w:hAnsi="Tahoma" w:eastAsia="Tahoma" w:cs="Tahoma"/>
                <w:b w:val="0"/>
                <w:i w:val="0"/>
                <w:strike w:val="0"/>
                <w:sz w:val="38"/>
              </w:rPr>
            </w:pPr>
            <w:r>
              <w:rPr>
                <w:rFonts w:ascii="Tahoma" w:hAnsi="Tahoma" w:eastAsia="Tahoma" w:cs="Tahoma"/>
                <w:b w:val="0"/>
                <w:i w:val="0"/>
                <w:strike w:val="0"/>
                <w:sz w:val="38"/>
              </w:rPr>
              <w:t xml:space="preserve">Постановление Правительства ХМАО - Югры от 25.12.2015 N 491-п</w:t>
            </w:r>
            <w:r>
              <w:rPr>
                <w:rFonts w:ascii="Tahoma" w:hAnsi="Tahoma" w:eastAsia="Tahoma" w:cs="Tahoma"/>
                <w:b w:val="0"/>
                <w:i w:val="0"/>
                <w:strike w:val="0"/>
                <w:sz w:val="38"/>
              </w:rPr>
              <w:br/>
            </w:r>
            <w:r>
              <w:rPr>
                <w:rFonts w:ascii="Tahoma" w:hAnsi="Tahoma" w:eastAsia="Tahoma" w:cs="Tahoma"/>
                <w:b w:val="0"/>
                <w:i w:val="0"/>
                <w:strike w:val="0"/>
                <w:sz w:val="38"/>
              </w:rPr>
              <w:t xml:space="preserve">(ред. от 20.07.2023)</w:t>
            </w:r>
            <w:r>
              <w:rPr>
                <w:rFonts w:ascii="Tahoma" w:hAnsi="Tahoma" w:eastAsia="Tahoma" w:cs="Tahoma"/>
                <w:b w:val="0"/>
                <w:i w:val="0"/>
                <w:strike w:val="0"/>
                <w:sz w:val="38"/>
              </w:rPr>
              <w:br/>
            </w:r>
            <w:r>
              <w:rPr>
                <w:rFonts w:ascii="Tahoma" w:hAnsi="Tahoma" w:eastAsia="Tahoma" w:cs="Tahoma"/>
                <w:b w:val="0"/>
                <w:i w:val="0"/>
                <w:strike w:val="0"/>
                <w:sz w:val="38"/>
              </w:rPr>
              <w:t xml:space="preserve">"Об утверждении порядка создания условий труда в соответствии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 обучения инвалидов новым профессиям, порядка резервирования рабочих мест по профессиям, наиболее подходящим для трудоустройства инвалидов, порядка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tc>
      </w:tr>
      <w:tr>
        <w:trPr>
          <w:trHeight w:val="2791" w:hRule="exact"/>
        </w:trPr>
        <w:tc>
          <w:tcPr>
            <w:tcW w:w="10207" w:type="dxa"/>
            <w:tcBorders>
              <w:top w:val="none"/>
              <w:left w:val="none"/>
              <w:bottom w:val="none"/>
              <w:right w:val="none"/>
            </w:tcBorders>
            <w:tcMar>
              <w:left w:w="80" w:type="dxa"/>
              <w:top w:w="60" w:type="dxa"/>
              <w:right w:w="80" w:type="dxa"/>
              <w:bottom w:w="60" w:type="dxa"/>
            </w:tcMar>
            <w:vAlign w:val="center"/>
          </w:tcPr>
          <w:p>
            <w:pPr>
              <w:pStyle w:val="Style_6"/>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28.03.2024</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1"/>
        <w:spacing w:before="0" w:after="0" w:line="240" w:lineRule="auto"/>
        <w:ind w:left="0" w:firstLine="0"/>
        <w:jc w:val="left"/>
        <w:outlineLvl w:val="0"/>
        <w:rPr>
          <w:rFonts w:ascii="TimesNewRoman" w:hAnsi="TimesNewRoman" w:eastAsia="TimesNewRoman" w:cs="TimesNew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1"/>
        <w:spacing w:before="0" w:after="0" w:line="240" w:lineRule="auto"/>
        <w:jc w:val="left"/>
        <w:rPr>
          <w:sz w:val="24"/>
        </w:rPr>
      </w:pPr>
    </w:p>
    <w:p>
      <w:pPr>
        <w:pStyle w:val="Style_1"/>
        <w:spacing w:before="0" w:after="0" w:line="240" w:lineRule="auto"/>
        <w:ind w:left="0" w:firstLine="0"/>
        <w:jc w:val="left"/>
        <w:outlineLvl w:val="0"/>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ХАНТЫ-МАНСИЙСКОГО АВТОНОМНОГО ОКРУГА - ЮГРЫ</w:t>
      </w:r>
    </w:p>
    <w:p>
      <w:pPr>
        <w:pStyle w:val="Style_3"/>
        <w:spacing w:before="0" w:after="0" w:line="240" w:lineRule="auto"/>
        <w:ind w:left="0" w:firstLine="0"/>
        <w:jc w:val="center"/>
        <w:rPr>
          <w:rFonts w:ascii="Arial" w:hAnsi="Arial" w:eastAsia="Arial" w:cs="Arial"/>
          <w:b/>
          <w:i w:val="0"/>
          <w:strike w:val="0"/>
          <w:sz w:val="24"/>
        </w:rPr>
      </w:pP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25 декабря 2015 г. N 491-п</w:t>
      </w:r>
    </w:p>
    <w:p>
      <w:pPr>
        <w:pStyle w:val="Style_3"/>
        <w:spacing w:before="0" w:after="0" w:line="240" w:lineRule="auto"/>
        <w:ind w:left="0" w:firstLine="0"/>
        <w:jc w:val="center"/>
        <w:rPr>
          <w:rFonts w:ascii="Arial" w:hAnsi="Arial" w:eastAsia="Arial" w:cs="Arial"/>
          <w:b/>
          <w:i w:val="0"/>
          <w:strike w:val="0"/>
          <w:sz w:val="24"/>
        </w:rPr>
      </w:pP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ПОРЯДКА СОЗДАНИЯ УСЛОВИЙ ТРУДА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СООТВЕТСТВИИ С ИНДИВИДУАЛЬНОЙ ПРОГРАММОЙ РЕАБИЛИТАЦИИ,</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АБИЛИТАЦИИ ИНВАЛИДА, ПОРЯДКА СОЗДАНИЯ УСЛОВИЙ</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ПРЕДПРИНИМАТЕЛЬСКОЙ ДЕЯТЕЛЬНОСТИ ИНВАЛИДОВ, ПОРЯДКА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ОРГАНИЗАЦИИ ОБУЧЕНИЯ ИНВАЛИДОВ НОВЫМ ПРОФЕССИЯМ, ПОРЯДКА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РЕЗЕРВИРОВАНИЯ РАБОЧИХ МЕСТ ПО ПРОФЕССИЯМ,</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НАИБОЛЕЕ ПОДХОДЯЩИМ ДЛЯ ТРУДОУСТРОЙСТВА ИНВАЛИДОВ, ПОРЯДКА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УСТАНОВЛЕНИЯ В ОРГАНИЗАЦИЯХ НЕЗАВИСИМО ОТ</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ОРГАНИЗАЦИОННО-ПРАВОВЫХ ФОРМ И ФОРМ СОБСТВЕННОСТИ КВОТЫ ДЛЯ</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ПРИЕМА НА РАБОТУ ИНВАЛИДОВ И МИНИМАЛЬНОГО КОЛИЧЕСТВА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СПЕЦИАЛЬНЫХ РАБОЧИХ МЕСТ ДЛЯ ИНВАЛИДОВ</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19.05.2017 </w:t>
            </w:r>
            <w:hyperlink r:id="rId13">
              <w:r>
                <w:rPr>
                  <w:rFonts w:ascii="TimesNewRoman" w:hAnsi="TimesNewRoman" w:eastAsia="TimesNewRoman" w:cs="TimesNewRoman"/>
                  <w:b w:val="0"/>
                  <w:i w:val="0"/>
                  <w:strike w:val="0"/>
                  <w:color w:val="0000ff"/>
                  <w:sz w:val="24"/>
                </w:rPr>
                <w:t xml:space="preserve">N 199-п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15.11.2019 </w:t>
            </w:r>
            <w:hyperlink r:id="rId14">
              <w:r>
                <w:rPr>
                  <w:rFonts w:ascii="TimesNewRoman" w:hAnsi="TimesNewRoman" w:eastAsia="TimesNewRoman" w:cs="TimesNewRoman"/>
                  <w:b w:val="0"/>
                  <w:i w:val="0"/>
                  <w:strike w:val="0"/>
                  <w:color w:val="0000ff"/>
                  <w:sz w:val="24"/>
                </w:rPr>
                <w:t xml:space="preserve">N 429-п</w:t>
              </w:r>
            </w:hyperlink>
            <w:r>
              <w:rPr>
                <w:rFonts w:ascii="TimesNewRoman" w:hAnsi="TimesNewRoman" w:eastAsia="TimesNewRoman" w:cs="TimesNewRoman"/>
                <w:b w:val="0"/>
                <w:i w:val="0"/>
                <w:strike w:val="0"/>
                <w:color w:val="392c69"/>
                <w:sz w:val="24"/>
              </w:rPr>
              <w:t xml:space="preserve">, от 18.06.2021 </w:t>
            </w:r>
            <w:hyperlink r:id="rId15">
              <w:r>
                <w:rPr>
                  <w:rFonts w:ascii="TimesNewRoman" w:hAnsi="TimesNewRoman" w:eastAsia="TimesNewRoman" w:cs="TimesNewRoman"/>
                  <w:b w:val="0"/>
                  <w:i w:val="0"/>
                  <w:strike w:val="0"/>
                  <w:color w:val="0000ff"/>
                  <w:sz w:val="24"/>
                </w:rPr>
                <w:t xml:space="preserve">N 222-п</w:t>
              </w:r>
            </w:hyperlink>
            <w:r>
              <w:rPr>
                <w:rFonts w:ascii="TimesNewRoman" w:hAnsi="TimesNewRoman" w:eastAsia="TimesNewRoman" w:cs="TimesNewRoman"/>
                <w:b w:val="0"/>
                <w:i w:val="0"/>
                <w:strike w:val="0"/>
                <w:color w:val="392c69"/>
                <w:sz w:val="24"/>
              </w:rPr>
              <w:t xml:space="preserve">, от 14.01.2022 </w:t>
            </w:r>
            <w:hyperlink r:id="rId16">
              <w:r>
                <w:rPr>
                  <w:rFonts w:ascii="TimesNewRoman" w:hAnsi="TimesNewRoman" w:eastAsia="TimesNewRoman" w:cs="TimesNewRoman"/>
                  <w:b w:val="0"/>
                  <w:i w:val="0"/>
                  <w:strike w:val="0"/>
                  <w:color w:val="0000ff"/>
                  <w:sz w:val="24"/>
                </w:rPr>
                <w:t xml:space="preserve">N 3-п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17">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 от 20.07.2023 </w:t>
            </w:r>
            <w:hyperlink r:id="rId18">
              <w:r>
                <w:rPr>
                  <w:rFonts w:ascii="TimesNewRoman" w:hAnsi="TimesNewRoman" w:eastAsia="TimesNewRoman" w:cs="TimesNewRoman"/>
                  <w:b w:val="0"/>
                  <w:i w:val="0"/>
                  <w:strike w:val="0"/>
                  <w:color w:val="0000ff"/>
                  <w:sz w:val="24"/>
                </w:rPr>
                <w:t xml:space="preserve">N 346-п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соответствии с Федеральным </w:t>
      </w:r>
      <w:hyperlink r:id="rId19">
        <w:r>
          <w:rPr>
            <w:rFonts w:ascii="TimesNewRoman" w:hAnsi="TimesNewRoman" w:eastAsia="TimesNewRoman" w:cs="TimesNewRoman"/>
            <w:b w:val="0"/>
            <w:i w:val="0"/>
            <w:strike w:val="0"/>
            <w:color w:val="0000ff"/>
            <w:sz w:val="24"/>
          </w:rPr>
          <w:t xml:space="preserve">законом</w:t>
        </w:r>
      </w:hyperlink>
      <w:r>
        <w:rPr>
          <w:rFonts w:ascii="TimesNewRoman" w:hAnsi="TimesNewRoman" w:eastAsia="TimesNewRoman" w:cs="TimesNewRoman"/>
          <w:b w:val="0"/>
          <w:i w:val="0"/>
          <w:strike w:val="0"/>
          <w:sz w:val="24"/>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20">
        <w:r>
          <w:rPr>
            <w:rFonts w:ascii="TimesNewRoman" w:hAnsi="TimesNewRoman" w:eastAsia="TimesNewRoman" w:cs="TimesNewRoman"/>
            <w:b w:val="0"/>
            <w:i w:val="0"/>
            <w:strike w:val="0"/>
            <w:color w:val="0000ff"/>
            <w:sz w:val="24"/>
          </w:rPr>
          <w:t xml:space="preserve">Законом</w:t>
        </w:r>
      </w:hyperlink>
      <w:r>
        <w:rPr>
          <w:rFonts w:ascii="TimesNewRoman" w:hAnsi="TimesNewRoman" w:eastAsia="TimesNewRoman" w:cs="TimesNewRoman"/>
          <w:b w:val="0"/>
          <w:i w:val="0"/>
          <w:strike w:val="0"/>
          <w:sz w:val="24"/>
        </w:rPr>
        <w:t xml:space="preserve"> Ханты-Мансийского автономного округа - Югры от 23 декабря 2004 года N 89-оз "О гарантиях трудовой занятости инвалидов в Ханты-Мансийском автономном округе - Югре" Правительство Ханты-Мансийского автономного округа - Югры постановляет:</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21">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15.11.2019 N 429-п)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Утвердить:</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создания условий труда в соответствии с индивидуальной программой реабилитации, абилитации инвалида (приложение 1).</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создания условий для предпринимательской деятельности инвалидов (приложение 2).</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  организации обучения инвалидов новым профессиям (приложение 3).</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  резервирования рабочих мест по профессиям, наиболее подходящим для трудоустройства инвалидов (приложение 4).</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(приложение 5).</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(пп. 1.5 введен </w:t>
      </w:r>
      <w:hyperlink r:id="rId22">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18.06.2021 N 222-п)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Настоящее постановление вступает в силу с 1 января 2016 года.</w:t>
      </w: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Губернатор</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Н.В.КОМАРОВА</w:t>
      </w: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1</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постановлению Правительства</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25 декабря 2015 года N 491-п</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rPr>
          <w:rFonts w:ascii="Arial" w:hAnsi="Arial" w:eastAsia="Arial" w:cs="Arial"/>
          <w:b/>
          <w:i w:val="0"/>
          <w:strike w:val="0"/>
          <w:sz w:val="24"/>
        </w:rPr>
      </w:pPr>
      <w:bookmarkStart w:id="1" w:name="Par48"/>
      <w:bookmarkEnd w:id="1"/>
      <w:r>
        <w:rPr>
          <w:rFonts w:ascii="Arial" w:hAnsi="Arial" w:eastAsia="Arial" w:cs="Arial"/>
          <w:b/>
          <w:i w:val="0"/>
          <w:strike w:val="0"/>
          <w:sz w:val="24"/>
        </w:rPr>
        <w:t xml:space="preserve">ПОРЯДОК</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СОЗДАНИЯ УСЛОВИЙ ТРУДА В СООТВЕТСТВИИ С ИНДИВИДУАЛЬНОЙ</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ПРОГРАММОЙ РЕАБИЛИТАЦИИ, АБИЛИТАЦИИ ИНВАЛИДА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(ДАЛЕЕ - ПОРЯДОК)</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15.11.2019 </w:t>
            </w:r>
            <w:hyperlink r:id="rId23">
              <w:r>
                <w:rPr>
                  <w:rFonts w:ascii="TimesNewRoman" w:hAnsi="TimesNewRoman" w:eastAsia="TimesNewRoman" w:cs="TimesNewRoman"/>
                  <w:b w:val="0"/>
                  <w:i w:val="0"/>
                  <w:strike w:val="0"/>
                  <w:color w:val="0000ff"/>
                  <w:sz w:val="24"/>
                </w:rPr>
                <w:t xml:space="preserve">N 429-п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24">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 ОБЩИЕ ПОЛОЖЕНИЯ</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Порядок определяет требования к обеспечению условий и режима труда инвалидов с учетом рекомендаций индивидуальной программы реабилитации, абилитации.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Порядок разработан в соответствии с Трудовым </w:t>
      </w:r>
      <w:hyperlink r:id="rId25">
        <w:r>
          <w:rPr>
            <w:rFonts w:ascii="TimesNewRoman" w:hAnsi="TimesNewRoman" w:eastAsia="TimesNewRoman" w:cs="TimesNewRoman"/>
            <w:b w:val="0"/>
            <w:i w:val="0"/>
            <w:strike w:val="0"/>
            <w:color w:val="0000ff"/>
            <w:sz w:val="24"/>
          </w:rPr>
          <w:t xml:space="preserve">кодексом</w:t>
        </w:r>
      </w:hyperlink>
      <w:r>
        <w:rPr>
          <w:rFonts w:ascii="TimesNewRoman" w:hAnsi="TimesNewRoman" w:eastAsia="TimesNewRoman" w:cs="TimesNewRoman"/>
          <w:b w:val="0"/>
          <w:i w:val="0"/>
          <w:strike w:val="0"/>
          <w:sz w:val="24"/>
        </w:rPr>
        <w:t xml:space="preserve"> Российской Федерации, </w:t>
      </w:r>
      <w:hyperlink r:id="rId26">
        <w:r>
          <w:rPr>
            <w:rFonts w:ascii="TimesNewRoman" w:hAnsi="TimesNewRoman" w:eastAsia="TimesNewRoman" w:cs="TimesNewRoman"/>
            <w:b w:val="0"/>
            <w:i w:val="0"/>
            <w:strike w:val="0"/>
            <w:color w:val="0000ff"/>
            <w:sz w:val="24"/>
          </w:rPr>
          <w:t xml:space="preserve">Законом</w:t>
        </w:r>
      </w:hyperlink>
      <w:r>
        <w:rPr>
          <w:rFonts w:ascii="TimesNewRoman" w:hAnsi="TimesNewRoman" w:eastAsia="TimesNewRoman" w:cs="TimesNewRoman"/>
          <w:b w:val="0"/>
          <w:i w:val="0"/>
          <w:strike w:val="0"/>
          <w:sz w:val="24"/>
        </w:rPr>
        <w:t xml:space="preserve"> Российской Федерации от 19 апреля 1991 года N 1032-1 "О занятости населения в Российской Федерации", Федеральными законами от 24 ноября 1995 года </w:t>
      </w:r>
      <w:hyperlink r:id="rId27">
        <w:r>
          <w:rPr>
            <w:rFonts w:ascii="TimesNewRoman" w:hAnsi="TimesNewRoman" w:eastAsia="TimesNewRoman" w:cs="TimesNewRoman"/>
            <w:b w:val="0"/>
            <w:i w:val="0"/>
            <w:strike w:val="0"/>
            <w:color w:val="0000ff"/>
            <w:sz w:val="24"/>
          </w:rPr>
          <w:t xml:space="preserve">N 181-ФЗ</w:t>
        </w:r>
      </w:hyperlink>
      <w:r>
        <w:rPr>
          <w:rFonts w:ascii="TimesNewRoman" w:hAnsi="TimesNewRoman" w:eastAsia="TimesNewRoman" w:cs="TimesNewRoman"/>
          <w:b w:val="0"/>
          <w:i w:val="0"/>
          <w:strike w:val="0"/>
          <w:sz w:val="24"/>
        </w:rPr>
        <w:t xml:space="preserve"> "О социальной защите инвалидов в Российской Федерации", от 28 декабря 2013 года </w:t>
      </w:r>
      <w:hyperlink r:id="rId28">
        <w:r>
          <w:rPr>
            <w:rFonts w:ascii="TimesNewRoman" w:hAnsi="TimesNewRoman" w:eastAsia="TimesNewRoman" w:cs="TimesNewRoman"/>
            <w:b w:val="0"/>
            <w:i w:val="0"/>
            <w:strike w:val="0"/>
            <w:color w:val="0000ff"/>
            <w:sz w:val="24"/>
          </w:rPr>
          <w:t xml:space="preserve">N 426-ФЗ</w:t>
        </w:r>
      </w:hyperlink>
      <w:r>
        <w:rPr>
          <w:rFonts w:ascii="TimesNewRoman" w:hAnsi="TimesNewRoman" w:eastAsia="TimesNewRoman" w:cs="TimesNewRoman"/>
          <w:b w:val="0"/>
          <w:i w:val="0"/>
          <w:strike w:val="0"/>
          <w:sz w:val="24"/>
        </w:rPr>
        <w:t xml:space="preserve"> "О специальной оценке условий труда", приказами Министерства труда и социальной защиты Российской Федерации от 4 августа 2014 года </w:t>
      </w:r>
      <w:hyperlink r:id="rId29">
        <w:r>
          <w:rPr>
            <w:rFonts w:ascii="TimesNewRoman" w:hAnsi="TimesNewRoman" w:eastAsia="TimesNewRoman" w:cs="TimesNewRoman"/>
            <w:b w:val="0"/>
            <w:i w:val="0"/>
            <w:strike w:val="0"/>
            <w:color w:val="0000ff"/>
            <w:sz w:val="24"/>
          </w:rPr>
          <w:t xml:space="preserve">N 515</w:t>
        </w:r>
      </w:hyperlink>
      <w:r>
        <w:rPr>
          <w:rFonts w:ascii="TimesNewRoman" w:hAnsi="TimesNewRoman" w:eastAsia="TimesNewRoman" w:cs="TimesNewRoman"/>
          <w:b w:val="0"/>
          <w:i w:val="0"/>
          <w:strike w:val="0"/>
          <w:sz w:val="24"/>
        </w:rPr>
        <w:t xml:space="preserve">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от 19 ноября 2013 года </w:t>
      </w:r>
      <w:hyperlink r:id="rId30">
        <w:r>
          <w:rPr>
            <w:rFonts w:ascii="TimesNewRoman" w:hAnsi="TimesNewRoman" w:eastAsia="TimesNewRoman" w:cs="TimesNewRoman"/>
            <w:b w:val="0"/>
            <w:i w:val="0"/>
            <w:strike w:val="0"/>
            <w:color w:val="0000ff"/>
            <w:sz w:val="24"/>
          </w:rPr>
          <w:t xml:space="preserve">N 685н</w:t>
        </w:r>
      </w:hyperlink>
      <w:r>
        <w:rPr>
          <w:rFonts w:ascii="TimesNewRoman" w:hAnsi="TimesNewRoman" w:eastAsia="TimesNewRoman" w:cs="TimesNewRoman"/>
          <w:b w:val="0"/>
          <w:i w:val="0"/>
          <w:strike w:val="0"/>
          <w:sz w:val="24"/>
        </w:rPr>
        <w:t xml:space="preserve">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санитарными </w:t>
      </w:r>
      <w:hyperlink r:id="rId31">
        <w:r>
          <w:rPr>
            <w:rFonts w:ascii="TimesNewRoman" w:hAnsi="TimesNewRoman" w:eastAsia="TimesNewRoman" w:cs="TimesNewRoman"/>
            <w:b w:val="0"/>
            <w:i w:val="0"/>
            <w:strike w:val="0"/>
            <w:color w:val="0000ff"/>
            <w:sz w:val="24"/>
          </w:rPr>
          <w:t xml:space="preserve">правилами</w:t>
        </w:r>
      </w:hyperlink>
      <w:r>
        <w:rPr>
          <w:rFonts w:ascii="TimesNewRoman" w:hAnsi="TimesNewRoman" w:eastAsia="TimesNewRoman" w:cs="TimesNewRoman"/>
          <w:b w:val="0"/>
          <w:i w:val="0"/>
          <w:strike w:val="0"/>
          <w:sz w:val="24"/>
        </w:rPr>
        <w:t xml:space="preserve"> СП 2.2.3670-20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года N 40, и Законами Ханты-Мансийского автономного округа - Югры от 23 декабря 2004 года </w:t>
      </w:r>
      <w:hyperlink r:id="rId32">
        <w:r>
          <w:rPr>
            <w:rFonts w:ascii="TimesNewRoman" w:hAnsi="TimesNewRoman" w:eastAsia="TimesNewRoman" w:cs="TimesNewRoman"/>
            <w:b w:val="0"/>
            <w:i w:val="0"/>
            <w:strike w:val="0"/>
            <w:color w:val="0000ff"/>
            <w:sz w:val="24"/>
          </w:rPr>
          <w:t xml:space="preserve">N 89-оз</w:t>
        </w:r>
      </w:hyperlink>
      <w:r>
        <w:rPr>
          <w:rFonts w:ascii="TimesNewRoman" w:hAnsi="TimesNewRoman" w:eastAsia="TimesNewRoman" w:cs="TimesNewRoman"/>
          <w:b w:val="0"/>
          <w:i w:val="0"/>
          <w:strike w:val="0"/>
          <w:sz w:val="24"/>
        </w:rPr>
        <w:t xml:space="preserve"> "О гарантиях трудовой занятости инвалидов в Ханты-Мансийском автономном округе - Югре" и от 25 мая 2012 года </w:t>
      </w:r>
      <w:hyperlink r:id="rId33">
        <w:r>
          <w:rPr>
            <w:rFonts w:ascii="TimesNewRoman" w:hAnsi="TimesNewRoman" w:eastAsia="TimesNewRoman" w:cs="TimesNewRoman"/>
            <w:b w:val="0"/>
            <w:i w:val="0"/>
            <w:strike w:val="0"/>
            <w:color w:val="0000ff"/>
            <w:sz w:val="24"/>
          </w:rPr>
          <w:t xml:space="preserve">N 52-оз</w:t>
        </w:r>
      </w:hyperlink>
      <w:r>
        <w:rPr>
          <w:rFonts w:ascii="TimesNewRoman" w:hAnsi="TimesNewRoman" w:eastAsia="TimesNewRoman" w:cs="TimesNewRoman"/>
          <w:b w:val="0"/>
          <w:i w:val="0"/>
          <w:strike w:val="0"/>
          <w:sz w:val="24"/>
        </w:rPr>
        <w:t xml:space="preserve"> "О регулировании отдельных вопросов в области содействия занятости населения в Ханты-Мансийском автономном округе - Югре".</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постановлений Правительства ХМАО - Югры от 15.11.2019 </w:t>
      </w:r>
      <w:hyperlink r:id="rId34">
        <w:r>
          <w:rPr>
            <w:rFonts w:ascii="TimesNewRoman" w:hAnsi="TimesNewRoman" w:eastAsia="TimesNewRoman" w:cs="TimesNewRoman"/>
            <w:b w:val="0"/>
            <w:i w:val="0"/>
            <w:strike w:val="0"/>
            <w:color w:val="0000ff"/>
            <w:sz w:val="24"/>
          </w:rPr>
          <w:t xml:space="preserve">N 429-п</w:t>
        </w:r>
      </w:hyperlink>
      <w:r>
        <w:rPr>
          <w:rFonts w:ascii="TimesNewRoman" w:hAnsi="TimesNewRoman" w:eastAsia="TimesNewRoman" w:cs="TimesNewRoman"/>
          <w:b w:val="0"/>
          <w:i w:val="0"/>
          <w:strike w:val="0"/>
          <w:sz w:val="24"/>
        </w:rPr>
        <w:t xml:space="preserve">, от 01.07.2022 </w:t>
      </w:r>
      <w:hyperlink r:id="rId35">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II. ТЕРМИНЫ И ОПРЕДЕЛЕНИЯ</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 Специальное рабочее место для трудоустройства инвалида - рабочее место, требующее принятия дополнительных мер по организации труда, включая адаптацию основного и вспомогательного оборудования, технического и организационного оснащения, обеспечения техническими приспособлениями с учетом индивидуальных возможностей инвалида.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 Индивидуальная программа реабилитации, абилитации инвалида (далее - ИПРА)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ИПРА разрабатывают федеральные учреждения медико-социальной экспертизы.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2.3.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выполнять трудовые обязанности (а также иные периоды времени, которые законами и иными нормативными актами относятся к рабочему времени).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2.4. Иные понятия и термины применяются в тех же значениях, что и в </w:t>
      </w:r>
      <w:hyperlink r:id="rId36">
        <w:r>
          <w:rPr>
            <w:rFonts w:ascii="TimesNewRoman" w:hAnsi="TimesNewRoman" w:eastAsia="TimesNewRoman" w:cs="TimesNewRoman"/>
            <w:b w:val="0"/>
            <w:i w:val="0"/>
            <w:strike w:val="0"/>
            <w:color w:val="0000ff"/>
            <w:sz w:val="24"/>
          </w:rPr>
          <w:t xml:space="preserve">Законе</w:t>
        </w:r>
      </w:hyperlink>
      <w:r>
        <w:rPr>
          <w:rFonts w:ascii="TimesNewRoman" w:hAnsi="TimesNewRoman" w:eastAsia="TimesNewRoman" w:cs="TimesNewRoman"/>
          <w:b w:val="0"/>
          <w:i w:val="0"/>
          <w:strike w:val="0"/>
          <w:sz w:val="24"/>
        </w:rPr>
        <w:t xml:space="preserve"> Российской Федерации от 19 апреля 1991 года N 1032-1 "О занятости населения в Российской Федерации", Федеральном </w:t>
      </w:r>
      <w:hyperlink r:id="rId37">
        <w:r>
          <w:rPr>
            <w:rFonts w:ascii="TimesNewRoman" w:hAnsi="TimesNewRoman" w:eastAsia="TimesNewRoman" w:cs="TimesNewRoman"/>
            <w:b w:val="0"/>
            <w:i w:val="0"/>
            <w:strike w:val="0"/>
            <w:color w:val="0000ff"/>
            <w:sz w:val="24"/>
          </w:rPr>
          <w:t xml:space="preserve">законе</w:t>
        </w:r>
      </w:hyperlink>
      <w:r>
        <w:rPr>
          <w:rFonts w:ascii="TimesNewRoman" w:hAnsi="TimesNewRoman" w:eastAsia="TimesNewRoman" w:cs="TimesNewRoman"/>
          <w:b w:val="0"/>
          <w:i w:val="0"/>
          <w:strike w:val="0"/>
          <w:sz w:val="24"/>
        </w:rPr>
        <w:t xml:space="preserve"> от 24 ноября 1995 года N 181-ФЗ "О социальной защите инвалидов в Российской Федерации".</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III. СОЗДАНИЕ СПЕЦИАЛЬНЫХ УСЛОВИЙ ТРУДА</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 Инвалидам, оформившим трудовые отношения с работодателями в Ханты-Мансийском автономном округе - Югре, создаются необходимые условия труда в соответствии с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3.2. Создание условий труда включает в себя деятельность, обеспечивающую показанные инвалиду условия и режим труда в соответствии с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неполный рабочий день с предоставлением показанных видов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льготные нормы выработки;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введение дополнительных перерывов;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строгое соблюдение санитарно-гигиенических норм;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систематическое медицинское наблюдение;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возможность полностью или частично работать на дому;</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оснащение рабочего места вспомогательными техническими средствами;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другие особенности условий труда, указанные в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3.3. Оснащение (оборудование) специальных рабочих мест для трудоустройства осуществляет работодатель индивидуально, а также для группы инвалидов, имеющих однотипные нарушения функций организма и ограничения жизнедеятельности, и включает в себя следующие этапы: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 анализ потребностей в оснащении (оборудовании) специального рабочего места на основе сведений, содержащихся в ИПРА,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б) формирование перечня мероприятий, направленных на оснащение (оборудование) специальных рабочих мест,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его трудовых функций;</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реализация перечня мероприятий, направленных на оснащение (оборудование) специальных рабочих мест,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его трудовых функций.</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Оснащение (оборудование) специальных рабочих мест не должно мешать выполнению трудовых функций других работников.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3.4. Работодатель принимает общие по организации локальные нормативные акты (приказы) по созданию специальных условий труда с учетом индивидуального подхода к потребностям трудоустроенных инвалидов. В локальном нормативном акте определяет сроки предоставления специальных условий труда (в соответствии с периодом действия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3.5. В принимаемых работодателем локальных нормативных актах, содержащих сведения о созданных или выделенных рабочих местах, рекомендуется предусмотреть включение следующих сведений: наименование должностей; количество штатных единиц; условий оплаты труда; особые условия режима труда и отдыха, а также возможность полностью или частично работать на дому; льготные нормы выработки; характер работы; введение дополнительных перерывов и т.д.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3.6. Работодатель обеспечивает:</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создание необходимых условий труда и режима работы в соответствии с действующим законодательством, общей и индивидуальной программой реабилитации;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подбор специальных технологических процессов и продукции с учетом применения труда инвалидов и их профессиональных навыков и состояния здоровья;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разработку и использование различных средств малой механизации для облегчения труда, при необходимости оборудование рабочего места инвалида в индивидуальном порядке;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трудоустройство в соответствии с заключением медико-социальной экспертизы;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организацию на производстве медицинского наблюдения за инвалидами и контроль за соблюдением санитарно-гигиенических условий в производственных и непроизводственных помещениях;</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составление графика и режима работы с учетом их заболеваний и рекомендаций по продолжительности рабочего дня;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производственный контроль за выполнением санитарных правил и гигиенических нормативов;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санитарно-эпидемиологических заключений на применяемое сырье, выпускаемую продукцию, осуществление гигиенической оценки технологических процессов;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принятие необходимых мер в случае возникновения аварийных ситуаций и несчастных случаев на производстве, в том числе надлежащих мер по оказанию первой помощи.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3.7. При трудоустройстве обеспечивается соответствие требований характера и условий труда функциональным возможностям организма, квалификации, степени сохранности профессиональных навыков. Предпочтительно сохранять профессию при облегченном режиме труда. Конкретные меры по облегчению труда осуществляются работодателем на основании рекомендаций территориальных органов Федеральной службы по надзору в сфере защиты прав потребителей и благополучия человека (Роспотребнадзором) и лечебно-профилактического учреждения.</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IV. УСЛОВИЯ ТРУДА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СОЗДАННЫХ СПЕЦИАЛЬНЫХ РАБОЧИХ МЕСТАХ</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 Рабочее место должно обеспечивать безопасность труда, работу с незначительными или умеренными физическими, динамическими и статическими, интеллектуальными, сенсорными, эмоциональными нагрузками, исключать возможность ухудшения здоровья или травмирования.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4.2. Классы (подклассы) вредных и (или) опасных условий труда на рабочих местах определяются по результатам специальной оценки условий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4.3. Определение соответствия условий труда санитарному законодательству осуществляется организациями и учреждениями Федеральной службы по надзору в сфере защиты прав потребителей и благополучия человека (Роспотребнадзором).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4.4. Не допускается установление в коллективных или индивидуальных трудовых договорах условий труда (оплата труда, режим рабочего времени и времени отдыха, продолжительность ежегодного и дополнительного оплачиваемых отпусков и др.), ухудшающих положение инвалидов по сравнению с другими работниками.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4.5. Инвалидам I и II группы устанавливается сокращенная продолжительность рабочего времени не более 35 часов в неделю с сохранением полной оплаты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4.6. Привлекаться к работе в ночное время могут только с письменного согласия и при условии, что такая работа не запрещена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работы в ночное время.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4.7. Привлечение к сверхурочной работе также возможно только с письменного согласия и при условии, если это не запрещено по состоянию здоровья в соответствии с медицинским заключением. При этом инвалиды должны быть под подпись ознакомлены со своим правом отказаться от сверхурочной работы. Продолжительность сверхурочной работы не должна превышать 4 часов в течение 2 дней подряд и 120 часов в год. Работодатель обязан обеспечить точный учет продолжительности сверхурочной работы.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4.8. Привлечение к работе в выходные и нерабочие праздничные дни допускается только при условии, если это не запрещено им по состоянию здоровья в соответствии с медицинским заключением. При этом они должны быть также под подпись ознакомлены со своим правом отказаться от работы в выходной или нерабочий праздничный день. Привлечение к работе в выходные и нерабочие праздничные дни осуществляется по письменному распоряжению работодателя.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4.9. Инвалидам предоставляется ежегодный основной оплачиваемый отпуск не менее 30 календарных дней, а также дополнительный оплачиваемый отпуск за работу в районах, приравненных к районам Крайнего Севера, продолжительностью 16 календарных дней.</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Работодатель также обязан предоставить по письменному заявлению инвалида отпуск без сохранения заработной платы продолжительностью до 60 календарных дней в году.</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4.10. Не допускается размещение постоянных рабочих мест в подвальных, цокольных этажах, в зданиях без естественного освещения и воздухообмена.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4.11. На предприятиях оборудуются помещения для отдыха площадью из расчета 0,3 кв. м на 1 работника, но не менее 12 кв. м в зависимости от группы производственных процессов. Расстояние от производственных помещений до помещений для отдыха не должно превышать 75 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4.12. На предприятиях организуются столовые, буфеты, комнаты приема пищи с обеспечением горячего питания. Кроме того, на предприятиях, где это предусмотрено отраслевыми и межотраслевыми правилами по охране труда, санитарными правилами и другими нормативными правовыми актами Российской Федерации, должен быть оборудован здравпункт, включающий кабинет врача, процедурный кабинет и помещение, в котором могут находиться инвалиды в случае резкого ухудшения здоровья.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4.13. Особые требования предъявляются к расстановке оборудования и мебели, она должна обеспечивать безопасность и комфортность труда. Расстановка станков, оборудования и мебели на рабочем месте пользующегося для передвижения креслом-коляской должна обеспечивать возможность подъезда и разворота инвалидной коляски, а на рабочем месте слепого и слабовидящего - возможность работы без помех от передвижений в помещении других работников. Для удобного нахождения своего рабочего места слепым работником станки, оборудование или мебель должны быть снабжены тактильными ориентирами. Оргтехоснастка рабочих мест (рабочие столы, верстаки, стеллажи, шкафы) должна соответствовать антропометрическим данным инвалида.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4.14. Все элементы стационарного оборудования, предназначенные для пользования инвалидами, должны быть прочно и надежно закреплены. Крепежные детали оборудования, регуляторов, электровыключателей и т.п. не должны выступать за плоскость закрепляемого элемента.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4.15. Специальные требования установлены к освещению рабочих мест людей с ограниченными возможностями. При организации искусственного освещения следует учитывать требования безопасных и благоприятных условий труда. При выборе рациональных источников света следует учитывать светоотдачу источника, цвет света, при установке - светораспределение, обеспечивающее образование контрастов на объекте зрительного наблюдения и отраженную блесткость.</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V. СПЕЦИАЛЬНЫЕ ТРЕБОВАНИЯ К ОРГАНИЗАЦИИ УСЛОВИЙ ТРУДА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ИНВАЛИДОВ С ПОРАЖЕНИЕМ ОТДЕЛЬНЫХ ФУНКЦИЙ И СИСТЕМ ОРГАНИЗМА</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Утратил силу. - </w:t>
      </w:r>
      <w:hyperlink r:id="rId38">
        <w:r>
          <w:rPr>
            <w:rFonts w:ascii="TimesNewRoman" w:hAnsi="TimesNewRoman" w:eastAsia="TimesNewRoman" w:cs="TimesNewRoman"/>
            <w:b w:val="0"/>
            <w:i w:val="0"/>
            <w:strike w:val="0"/>
            <w:color w:val="0000ff"/>
            <w:sz w:val="24"/>
          </w:rPr>
          <w:t xml:space="preserve">Постановление</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VI. РЕКОМЕНДОВАННЫЕ ВИДЫ ТРУДОВОЙ</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ПРОФЕССИОНАЛЬНОЙ ДЕЯТЕЛЬНОСТИ ДЛЯ ИНВАЛИДОВ</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6.1. Для инвалидов с нарушением слуха могут быть рекомендованы следующие виды трудовой и профессиональной деятельности: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физический труд и легкий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ручной труд, машинно-ручной труд, труд, связанный с преобладанием функциональных средств, труд, связанный с применением автоматических и автоматизированных систем;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жилищно-коммунальное хозяйство, на крупных и мелких промышленных предприятиях, в художественных промыслах, в сфере обслуживания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6.2. Для инвалидов с нарушением зрения могут быть рекомендованы следующие виды трудовой и профессиональной деятельности: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и физический труд с рабочими нагрузками в зависимости от степени нарушения зрения;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ручной труд, машинно-ручной труд, труд, связанный с преобладанием функциональных средств;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труд на мелких и крупных промышленных предприятиях, в сфере обслуживания, жилищно-коммунального хозяйства, торговли, в сельском и лесном хозяйстве, в художественных промыслах, в строительстве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6.3. Для инвалидов с нарушением функций верхних конечностей могут быть рекомендованы следующие виды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и легкий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труд, связанный с применением автоматических и автоматизированных систем, труд, связанный с преобладанием функциональных средств;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преимущественно на мелких промышленных предприятиях, в сфере обслуживания, жилищно-коммунального хозяйства на транспорте, в связи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6.4. Для инвалидов с умеренными нарушениями функций нижних конечностей могут быть рекомендованы следующие виды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и легкий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ручной труд, машинно-ручной труд, труд, связанный с применением автоматических и автоматизированных систем, труд, связанный с применением функциональных средств;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труд на крупных и мелких промышленных предприятиях, труд в сфере обслуживания, жилищно-коммунального хозяйства, торговли и родственных видов деятельности, в художественных промыслах, в связи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6.5. Для инвалидов, передвигающихся на креслах-колясках, могут быть рекомендованы следующие виды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и легкий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профессии ручного труда, профессии, связанные с преобладанием функциональных средств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труд преимущественно на мелких промышленных предприятиях, в сфере обслуживания, в художественных промыслах, в связи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6.6. Для инвалидов с нарушением коронарного и/или центрального кровообращения могут быть рекомендованы следующие виды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умственный и легкий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признаку основных орудий (средств) труда - ручной труд, труд, связанный с применением автоматических и автоматизированных систем, труд, связанный с преобладанием функциональных средств;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труд любого уровня квалификации, неквалифицированный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на крупных и мелких промышленных предприятиях, в сфере обслуживания, жилищно-коммунального хозяйства, торговли, квалифицированный труд в сельском и лесном хозяйстве, в художественных промыслах, в строительстве, на транспорте, в связи, операторский труд (операторы, аппаратчики) и в иных сферах производства, с учетом ИПРА.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6.7. Для инвалидов с интеллектуальными нарушениями могут быть рекомендованы следующие виды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характеру рабочей нагрузки на инвалида и его усилий по реализации трудовых задач - физический труд;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уровню квалификации - неквалифицированный труд (уборка, ремонт, доставка, подсобные работы, сортировка, упаковка, маркировка, комплектование, погрузо-разгрузочные работы);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сфере производства - преимущественно на мелких промышленных предприятиях, в сфере обслуживания, жилищно-коммунального хозяйства, торговли, в сельском хозяйстве, лесном хозяйстве, в художественных промыслах, в строительстве и в иных сферах производства, с учетом ИПРА.</w:t>
      </w: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2</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постановлению Правительства</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25 декабря 2015 года N 491-п</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rPr>
          <w:rFonts w:ascii="Arial" w:hAnsi="Arial" w:eastAsia="Arial" w:cs="Arial"/>
          <w:b/>
          <w:i w:val="0"/>
          <w:strike w:val="0"/>
          <w:sz w:val="24"/>
        </w:rPr>
      </w:pPr>
      <w:bookmarkStart w:id="2" w:name="Par173"/>
      <w:bookmarkEnd w:id="2"/>
      <w:r>
        <w:rPr>
          <w:rFonts w:ascii="Arial" w:hAnsi="Arial" w:eastAsia="Arial" w:cs="Arial"/>
          <w:b/>
          <w:i w:val="0"/>
          <w:strike w:val="0"/>
          <w:sz w:val="24"/>
        </w:rPr>
        <w:t xml:space="preserve">ПОРЯДОК</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СОЗДАНИЯ УСЛОВИЙ ДЛЯ ПРЕДПРИНИМАТЕЛЬСКОЙ ДЕЯТЕЛЬНОСТИ</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ИНВАЛИДОВ (ДАЛЕЕ - ПОРЯДОК)</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15.11.2019 </w:t>
            </w:r>
            <w:hyperlink r:id="rId39">
              <w:r>
                <w:rPr>
                  <w:rFonts w:ascii="TimesNewRoman" w:hAnsi="TimesNewRoman" w:eastAsia="TimesNewRoman" w:cs="TimesNewRoman"/>
                  <w:b w:val="0"/>
                  <w:i w:val="0"/>
                  <w:strike w:val="0"/>
                  <w:color w:val="0000ff"/>
                  <w:sz w:val="24"/>
                </w:rPr>
                <w:t xml:space="preserve">N 429-п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40">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Создание условий для предпринимательской деятельности инвалидов способствует повышению уровня их занятости, конкурентоспособности на рынке труда Ханты-Мансийского автономного округа - Югры.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В Порядке используются следующие понятия и сокращения: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инвалид - гражданин, признанный инвалидом в соответствии с Федеральным </w:t>
      </w:r>
      <w:hyperlink r:id="rId41">
        <w:r>
          <w:rPr>
            <w:rFonts w:ascii="TimesNewRoman" w:hAnsi="TimesNewRoman" w:eastAsia="TimesNewRoman" w:cs="TimesNewRoman"/>
            <w:b w:val="0"/>
            <w:i w:val="0"/>
            <w:strike w:val="0"/>
            <w:color w:val="0000ff"/>
            <w:sz w:val="24"/>
          </w:rPr>
          <w:t xml:space="preserve">законом</w:t>
        </w:r>
      </w:hyperlink>
      <w:r>
        <w:rPr>
          <w:rFonts w:ascii="TimesNewRoman" w:hAnsi="TimesNewRoman" w:eastAsia="TimesNewRoman" w:cs="TimesNewRoman"/>
          <w:b w:val="0"/>
          <w:i w:val="0"/>
          <w:strike w:val="0"/>
          <w:sz w:val="24"/>
        </w:rPr>
        <w:t xml:space="preserve"> от 24 ноября 1995 года N 181-ФЗ "О социальной защите инвалидов в Российской Федерации", обратившийся в центр занятости населения Ханты-Мансийского автономного округа - Югры и зарегистрированный в целях поиска подходящей работы в установленном законодательством Российской Федерации порядке, и представивший индивидуальную программу реабилитации инвалида;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мероприятия - мероприятия, направленные на содействие самозанятости инвалидов, создание условий для организации и ведения ими предпринимательской деятельности;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Департамент - Департамент труда и занятости населения Ханты-Мансийского автономного округа - Югры.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Ответственными исполнителями мероприятий являются центры занятости населения Ханты-Мансийского автономного округа - Югры.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 Адреса, контактные телефоны, часы работы центров занятости населения Ханты-Мансийского автономного округа - Югры размещены на сайте Департамента: http://www.deptrud.admhmao.ru (раздел "Подведомственные учреждения").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 Создание условий в Ханты-Мансийском автономном округе - Югре для предпринимательской деятельности инвалидов включает оказание инвалидам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государственная услуга по содействию самозанятости, единовременная финансовая помощь).</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5 в ред. </w:t>
      </w:r>
      <w:hyperlink r:id="rId42">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 Оказание государственной услуги по содействию самозанятости определено Административным </w:t>
      </w:r>
      <w:hyperlink r:id="rId43">
        <w:r>
          <w:rPr>
            <w:rFonts w:ascii="TimesNewRoman" w:hAnsi="TimesNewRoman" w:eastAsia="TimesNewRoman" w:cs="TimesNewRoman"/>
            <w:b w:val="0"/>
            <w:i w:val="0"/>
            <w:strike w:val="0"/>
            <w:color w:val="0000ff"/>
            <w:sz w:val="24"/>
          </w:rPr>
          <w:t xml:space="preserve">регламентом</w:t>
        </w:r>
      </w:hyperlink>
      <w:r>
        <w:rPr>
          <w:rFonts w:ascii="TimesNewRoman" w:hAnsi="TimesNewRoman" w:eastAsia="TimesNewRoman" w:cs="TimesNewRoman"/>
          <w:b w:val="0"/>
          <w:i w:val="0"/>
          <w:strike w:val="0"/>
          <w:sz w:val="24"/>
        </w:rPr>
        <w:t xml:space="preserve"> предоставления государственной услуги по содействию самозанятости, утвержденным приказом Департамента (далее - Административный регламент), и размещен на сайте Департамента: http://www.deptrud.admhmao.ru (раздел "Государственные услуги и функции").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44">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 Предоставление единовременной финансовой помощи регулируется </w:t>
      </w:r>
      <w:hyperlink r:id="rId45">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Ханты-Мансийского автономного округа от 24 декабря 2021 года N 578-п "О мерах по реализации государственной программы Ханты-Мансийского автономного округа - Югры "Поддержка занятости населения", Административным регламентом.</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7 в ред. </w:t>
      </w:r>
      <w:hyperlink r:id="rId46">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 Оказание государственной услуги по содействию самозанятости, предоставление единовременной финансовой помощи осуществляют центры занятости населения Ханты-Мансийского автономного округа - Югры по месту жительства инвалидов.</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47">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3</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постановлению Правительства</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25 декабря 2015 года N 491-п</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rPr>
          <w:rFonts w:ascii="Arial" w:hAnsi="Arial" w:eastAsia="Arial" w:cs="Arial"/>
          <w:b/>
          <w:i w:val="0"/>
          <w:strike w:val="0"/>
          <w:sz w:val="24"/>
        </w:rPr>
      </w:pPr>
      <w:bookmarkStart w:id="3" w:name="Par206"/>
      <w:bookmarkEnd w:id="3"/>
      <w:r>
        <w:rPr>
          <w:rFonts w:ascii="Arial" w:hAnsi="Arial" w:eastAsia="Arial" w:cs="Arial"/>
          <w:b/>
          <w:i w:val="0"/>
          <w:strike w:val="0"/>
          <w:sz w:val="24"/>
        </w:rPr>
        <w:t xml:space="preserve">ПОРЯДОК</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ОРГАНИЗАЦИИ ОБУЧЕНИЯ ИНВАЛИДОВ НОВЫМ ПРОФЕССИЯМ</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15.11.2019 </w:t>
            </w:r>
            <w:hyperlink r:id="rId48">
              <w:r>
                <w:rPr>
                  <w:rFonts w:ascii="TimesNewRoman" w:hAnsi="TimesNewRoman" w:eastAsia="TimesNewRoman" w:cs="TimesNewRoman"/>
                  <w:b w:val="0"/>
                  <w:i w:val="0"/>
                  <w:strike w:val="0"/>
                  <w:color w:val="0000ff"/>
                  <w:sz w:val="24"/>
                </w:rPr>
                <w:t xml:space="preserve">N 429-п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49">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 ОБЩИЕ ПОЛОЖЕНИЯ</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Обучение безработных граждан из числа трудоспособных инвалидов (далее - инвалиды) направлено на повышение их конкурентоспособности на рынке труда Ханты-Мансийского автономного округа - Югры и усиление социальной защищенности посредством повышения роста профессионального мастерства.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Обучение инвалидов осуществляется по профессиям (специальностям), востребованным на рынке труда и повышающим вероятность их трудоустройства, с учетом заявленной работодателями потребности в работниках, а также по профессиям (специальностям) для конкретных рабочих мест, предоставляемых работодателями, и в целях дальнейшей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2 в ред. </w:t>
      </w:r>
      <w:hyperlink r:id="rId50">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Образовательные организации, на учебно-производственной базе которых осуществляется обучение (далее - образовательные организации), обеспечивают наличие 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инвалидам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беспрепятственного доступа в здания.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 Вакансии для трудоустройства инвалидов размещаются на Единой цифровой платформе в сфере занятости и трудовых отношений "Работа в России" (https://trudvsem.ru/).</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4 в ред. </w:t>
      </w:r>
      <w:hyperlink r:id="rId51">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 Обучение инвалидов должно носить интенсивный и, как правило, краткосрочный характер. Его продолжительность устанавливается профессиональными образовательными программами и не должна превышать 6 месяцев, а в отдельных случаях - 12 месяцев.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Обучение инвалидов осуществляется по очной, очно-заочной (вечерней) и дистанционной формам обучения; оно может быть курсовым (групповым) или индивидуальным.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Обучение в зависимости от его вида и формы включает теоретический и практический курс.</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 Образовательные организации по согласованию с органами службы занятости населения могут изменять продолжительность обучения, установленную профессиональными образовательными программами, исходя из уровня образования и профессиональной квалификации обучаемых, их практического опыта, сложности осваиваемых профессий, специальностей и индивидуальной программы реабилитации инвалидов.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 Требования к инвалидам, составу, последовательности и срокам выполнения административных процедур при осуществлении обучения определены Административным </w:t>
      </w:r>
      <w:hyperlink r:id="rId52">
        <w:r>
          <w:rPr>
            <w:rFonts w:ascii="TimesNewRoman" w:hAnsi="TimesNewRoman" w:eastAsia="TimesNewRoman" w:cs="TimesNewRoman"/>
            <w:b w:val="0"/>
            <w:i w:val="0"/>
            <w:strike w:val="0"/>
            <w:color w:val="0000ff"/>
            <w:sz w:val="24"/>
          </w:rPr>
          <w:t xml:space="preserve">регламентом</w:t>
        </w:r>
      </w:hyperlink>
      <w:r>
        <w:rPr>
          <w:rFonts w:ascii="TimesNewRoman" w:hAnsi="TimesNewRoman" w:eastAsia="TimesNewRoman" w:cs="TimesNewRoman"/>
          <w:b w:val="0"/>
          <w:i w:val="0"/>
          <w:strike w:val="0"/>
          <w:sz w:val="24"/>
        </w:rPr>
        <w:t xml:space="preserve">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утвержденным приказом Департамента труда и занятости населения Ханты-Мансийского автономного округа - Югры.</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53">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 Обучение инвалидов заканчивается их аттестацией, проводимой в установленном порядке образовательными организациями, и выдачей документов установленного образца.</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II. УЧЕБНО-ПРОИЗВОДСТВЕННАЯ БАЗА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МЕТОДИЧЕСКОЕ ОБЕСПЕЧЕНИЕ ОБУЧЕНИЯ ИНВАЛИДОВ</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 Обучение инвалидов осуществляется на учебно-производственной базе образовательных организаций, имеющих лицензию на право осуществления образовательной деятельности.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 Отбор образовательных организаций для обучения инвалидов осуществляется органами службы занятости населения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Методическое обеспечение (учебно-программная документация, технологии и методики обучения, методические пособия, рекомендации и др.) обучения инвалидов организует образовательная организация.</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Раздел III. ОРГАНИЗАЦИЯ ОБУЧЕНИЯ ИНВАЛИДОВ</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Обучение инвалидов осуществляется по направлению органов службы занятости населения в случаях, предусмотренных законодательством Российской Федерации.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Инвалиды имеют право пройти обучение в приоритетном порядке на основании </w:t>
      </w:r>
      <w:hyperlink r:id="rId54">
        <w:r>
          <w:rPr>
            <w:rFonts w:ascii="TimesNewRoman" w:hAnsi="TimesNewRoman" w:eastAsia="TimesNewRoman" w:cs="TimesNewRoman"/>
            <w:b w:val="0"/>
            <w:i w:val="0"/>
            <w:strike w:val="0"/>
            <w:color w:val="0000ff"/>
            <w:sz w:val="24"/>
          </w:rPr>
          <w:t xml:space="preserve">части 3 статьи 23</w:t>
        </w:r>
      </w:hyperlink>
      <w:r>
        <w:rPr>
          <w:rFonts w:ascii="TimesNewRoman" w:hAnsi="TimesNewRoman" w:eastAsia="TimesNewRoman" w:cs="TimesNewRoman"/>
          <w:b w:val="0"/>
          <w:i w:val="0"/>
          <w:strike w:val="0"/>
          <w:sz w:val="24"/>
        </w:rPr>
        <w:t xml:space="preserve"> Закона Российской Федерации от 19 апреля 1991 года N 1032-1 "О занятости населения в Российской Федерации".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 Органы службы занятости населения при организации обучения инвалидов осуществляют взаимодействие с Департаментом образования и науки Ханты-Мансийского автономного округа - Югры, а также с подведомственными ему учреждениями.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55">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 Направлению инвалидов на обучение предшествует предоставление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а в случае, когда гражданин выбрал профессию (специальность), требующую обязательного медицинского освидетельствования, - также выдача гражданину направления на медицинское освидетельствование.</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14 в ред. </w:t>
      </w:r>
      <w:hyperlink r:id="rId56">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 Направление инвалидов органами службы занятости населения на обучение осуществляется круглогодично.</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 Инвалидам, направляемым на обучение, гарантируется бесплатное медицинское освидетельствование, бесплатное обучение.</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16 в ред. </w:t>
      </w:r>
      <w:hyperlink r:id="rId57">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17. Учебные группы комплектуются, как правило, из инвалидов, направляемых на обучение по одноименным или родственным профессиям (специальностям), близким по уровню получаемой квалификации, с учетом их образовательной подготовки, практического опыта.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 курсовой (групповой) форме обучения учебные группы рекомендуется комплектовать численностью не более 5 - 10 человек, при индивидуальной - закреплять за 1 преподавателем (консультантом), инструктором производственного обучения одновременно не более 2 человек.</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18. Образовательные организации, осуществляющие обучение инвалидов, издают соответствующие приказы (распоряжения) о начале и окончании обучения и информируют об этом органы службы занятости населения, направившие инвалидов на обучение.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19. Органы службы занятости населения, направившие инвалидов на обучение, участвуют совместно с образовательными организациями в контроле за выполнением инвалидами учебных планов и программ, их посещаемостью и успеваемостью. Органы службы занятости населения получают от образовательных организаций сведения о посещаемости и успеваемости инвалидов, периодичность и сроки представления которых определяются контрактом на оказание образовательных услуг.</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58">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20. Отчисление инвалидов, направленных на обучение органами службы занятости населения, до окончания обучения осуществляют образовательные организации в соответствии с установленным ими порядком, с обязательным уведомлением органов службы занятости населения.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 Возмещение затрат образовательных организаций на обучение инвалидов, отчисленных до окончания обучения, производится в соответствии с условиями заключенного контракта на оказание образовательных услуг и не может превышать фактически понесенных расходов образовательной организации.</w:t>
      </w: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4</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постановлению Правительства</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25 декабря 2015 года N 491-п</w:t>
      </w:r>
    </w:p>
    <w:p>
      <w:pPr>
        <w:pStyle w:val="Style_1"/>
        <w:spacing w:before="0" w:after="0" w:line="240" w:lineRule="auto"/>
        <w:ind w:left="0" w:firstLine="0"/>
        <w:jc w:val="center"/>
        <w:rPr>
          <w:rFonts w:ascii="TimesNewRoman" w:hAnsi="TimesNewRoman" w:eastAsia="TimesNewRoman" w:cs="TimesNewRoman"/>
          <w:b w:val="0"/>
          <w:i w:val="0"/>
          <w:strike w:val="0"/>
          <w:sz w:val="24"/>
        </w:rPr>
      </w:pPr>
    </w:p>
    <w:p>
      <w:pPr>
        <w:pStyle w:val="Style_3"/>
        <w:spacing w:before="0" w:after="0" w:line="240" w:lineRule="auto"/>
        <w:ind w:left="0" w:firstLine="0"/>
        <w:jc w:val="center"/>
        <w:rPr>
          <w:rFonts w:ascii="Arial" w:hAnsi="Arial" w:eastAsia="Arial" w:cs="Arial"/>
          <w:b/>
          <w:i w:val="0"/>
          <w:strike w:val="0"/>
          <w:sz w:val="24"/>
        </w:rPr>
      </w:pPr>
      <w:bookmarkStart w:id="4" w:name="Par264"/>
      <w:bookmarkEnd w:id="4"/>
      <w:r>
        <w:rPr>
          <w:rFonts w:ascii="Arial" w:hAnsi="Arial" w:eastAsia="Arial" w:cs="Arial"/>
          <w:b/>
          <w:i w:val="0"/>
          <w:strike w:val="0"/>
          <w:sz w:val="24"/>
        </w:rPr>
        <w:t xml:space="preserve">ПОРЯДОК</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РЕЗЕРВИРОВАНИЯ РАБОЧИХ МЕСТ ПО ПРОФЕССИЯМ, НАИБОЛЕЕ</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ПОДХОДЯЩИМ ДЛЯ ТРУДОУСТРОЙСТВА ИНВАЛИДОВ (ДАЛЕЕ - ПОРЯДОК)</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19.05.2017 </w:t>
            </w:r>
            <w:hyperlink r:id="rId59">
              <w:r>
                <w:rPr>
                  <w:rFonts w:ascii="TimesNewRoman" w:hAnsi="TimesNewRoman" w:eastAsia="TimesNewRoman" w:cs="TimesNewRoman"/>
                  <w:b w:val="0"/>
                  <w:i w:val="0"/>
                  <w:strike w:val="0"/>
                  <w:color w:val="0000ff"/>
                  <w:sz w:val="24"/>
                </w:rPr>
                <w:t xml:space="preserve">N 199-п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60">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left"/>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Порядок устанавливает условия и процедуры резервирования рабочих мест по профессиям, наиболее подходящим для трудоустройства инвалидов.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Для целей Порядка используются следующие понятия: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работодатели - физическое либо юридическое лицо, вступившие в трудовые отношения с работником;</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работники - граждане Российской Федерации, иностранные граждане и лица без гражданства, проживающие в Ханты-Мансийском автономном округе - Югре, признанные в установленном порядке инвалидами, имеющими в соответствии с индивидуальной программой реабилитации инвалида рекомендации к труду;</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квота - количество рабочих мест, установленное в процентах от среднесписочной численности работников, для приема на работу инвалидов, которых работодатель обязан трудоустроить;</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резервирование рабочих мест - установление работодателями определенного количества рабочих мест по профессиям, наиболее подходящим для трудоустройства инвалидов, в счет установленной квоты.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Резервирование рабочих мест по профессиям, наиболее подходящим для трудоустройства инвалидов, выполняется работодателями независимо от организационно-правовых форм и форм собственности, осуществляющих деятельность в Ханты-Мансийском автономном округе - Югре.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Резервирование рабочих мест для инвалидов осуществляется работодателями с численностью работников свыше 35 человек.</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 Работодатели самостоятельно резервируют рабочие места для инвалидов путем принятия локального нормативного акта, где указывают их количество в разрезе профессий, информируют об этом центр занятости населения по месту нахождения организации, по форме, утвержденной Министерством труда и социальной защиты Российской Федерации, а также принимают меры по трудоустройству данной категории граждан на зарезервированные рабочие места.</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61">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 Дальнейшее резервирование рабочих мест для инвалидов осуществляется по мере освобождения соответствующих рабочих мест по профессиям, наиболее подходящим для их трудоустройства.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 Инвалидам создаются условия труда в соответствии с их индивидуальными программами реабилитации, абилитации.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 Резервирование рабочих мест не осуществляется: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 введении в отношении работодателя процедуры банкротства;</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62">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 работодателей, в отношении которых в установленном законодательством порядке принято решение об их ликвидации.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 При резервировании рабочих мест по профессиям работодатели запрашивают в центре занятости населения информацию о потребности в трудоустройстве инвалидов, в том числе проходящих обучение по направлению центра занятости населения.</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постановлений Правительства ХМАО - Югры от 19.05.2017 </w:t>
      </w:r>
      <w:hyperlink r:id="rId63">
        <w:r>
          <w:rPr>
            <w:rFonts w:ascii="TimesNewRoman" w:hAnsi="TimesNewRoman" w:eastAsia="TimesNewRoman" w:cs="TimesNewRoman"/>
            <w:b w:val="0"/>
            <w:i w:val="0"/>
            <w:strike w:val="0"/>
            <w:color w:val="0000ff"/>
            <w:sz w:val="24"/>
          </w:rPr>
          <w:t xml:space="preserve">N 199-п</w:t>
        </w:r>
      </w:hyperlink>
      <w:r>
        <w:rPr>
          <w:rFonts w:ascii="TimesNewRoman" w:hAnsi="TimesNewRoman" w:eastAsia="TimesNewRoman" w:cs="TimesNewRoman"/>
          <w:b w:val="0"/>
          <w:i w:val="0"/>
          <w:strike w:val="0"/>
          <w:sz w:val="24"/>
        </w:rPr>
        <w:t xml:space="preserve">, от 01.07.2022 </w:t>
      </w:r>
      <w:hyperlink r:id="rId64">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sz w:val="24"/>
        </w:rPr>
        <w:t xml:space="preserve">)</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 Работодатели трудоустраивают инвалидов на зарезервированные рабочие места как самостоятельно, так и с помощью центра занятости населения.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 В случае отказа в трудоустройстве инвалида на зарезервированное рабочее место работодатель обязан сообщить инвалиду, по его запросу, в письменной форме причины отказа.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случае если в отношении работодателя, являющегося юридическим лицом, принято решение о ликвидации, то он в центр занятости населения представляет справку об уведомлении органа, осуществляющего регистрацию юридических лиц, о пребывании на стадии ликвидации.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При резервировании рабочих мест работодатель также учитывает характер производства (взрыво- и пожаробезопасность, вредные и тяжелые условия труда, сменность, связанная с непрерывностью технологического процесса, соблюдение требований охраны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О трудоустройстве гражданина по направлению центра занятости населения в пределах установленного количества резервируемых рабочих мест работодатель в пятидневный срок уведомляет центр занятости населения в электронной форме с использованием Единой цифровой платформы в сфере занятости и трудовых отношений "Работа в России" с указанием дня приема гражданина на работу либо возвращает направление, выданное гражданину центром занятости, в центр занятости в случае если работодатель не зарегистрирован на Единой цифровой платформе в сфере занятости и трудовых отношений "Работа в России" в порядке, установленном Правительством Российской Федерации.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65">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 В среднесписочную численность работников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организаций не включаются должности, замещение которых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нормативными правовыми актами осуществляется путем избрания на должность, избрания по конкурсу на замещение соответствующей должности, назначения на должность или утверждения в должности.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 Утратил силу. - </w:t>
      </w:r>
      <w:hyperlink r:id="rId66">
        <w:r>
          <w:rPr>
            <w:rFonts w:ascii="TimesNewRoman" w:hAnsi="TimesNewRoman" w:eastAsia="TimesNewRoman" w:cs="TimesNewRoman"/>
            <w:b w:val="0"/>
            <w:i w:val="0"/>
            <w:strike w:val="0"/>
            <w:color w:val="0000ff"/>
            <w:sz w:val="24"/>
          </w:rPr>
          <w:t xml:space="preserve">Постановление</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 Центры занятости населения осуществляют учет граждан, трудоустраивающихся по их направлениям, в пределах установленного количества резервируемых рабочих мест.</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 За нарушение Порядка работодатели несут ответственность в соответствии с законодательством Российской Федерации и законодательством Ханты-Мансийского автономного округа - Югры.</w:t>
      </w:r>
    </w:p>
    <w:p>
      <w:pPr>
        <w:pStyle w:val="Style_1"/>
        <w:spacing w:before="0" w:after="0" w:line="240" w:lineRule="auto"/>
        <w:ind w:left="0" w:firstLine="540"/>
        <w:jc w:val="both"/>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p>
    <w:p>
      <w:pPr>
        <w:pStyle w:val="Style_1"/>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5</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постановлению Правительства</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Ханты-Мансийского</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автономного округа - Югры</w:t>
      </w:r>
    </w:p>
    <w:p>
      <w:pPr>
        <w:pStyle w:val="Style_1"/>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25 декабря 2015 года N 491-п</w:t>
      </w:r>
    </w:p>
    <w:p>
      <w:pPr>
        <w:pStyle w:val="Style_1"/>
        <w:spacing w:before="0" w:after="0" w:line="240" w:lineRule="auto"/>
        <w:ind w:left="0" w:firstLine="0"/>
        <w:jc w:val="both"/>
        <w:rPr>
          <w:rFonts w:ascii="TimesNewRoman" w:hAnsi="TimesNewRoman" w:eastAsia="TimesNewRoman" w:cs="TimesNewRoman"/>
          <w:b w:val="0"/>
          <w:i w:val="0"/>
          <w:strike w:val="0"/>
          <w:sz w:val="24"/>
        </w:rPr>
      </w:pPr>
    </w:p>
    <w:p>
      <w:pPr>
        <w:pStyle w:val="Style_3"/>
        <w:spacing w:before="0" w:after="0" w:line="240" w:lineRule="auto"/>
        <w:ind w:left="0" w:firstLine="0"/>
        <w:jc w:val="center"/>
        <w:rPr>
          <w:rFonts w:ascii="Arial" w:hAnsi="Arial" w:eastAsia="Arial" w:cs="Arial"/>
          <w:b/>
          <w:i w:val="0"/>
          <w:strike w:val="0"/>
          <w:sz w:val="24"/>
        </w:rPr>
      </w:pPr>
      <w:bookmarkStart w:id="5" w:name="Par310"/>
      <w:bookmarkEnd w:id="5"/>
      <w:r>
        <w:rPr>
          <w:rFonts w:ascii="Arial" w:hAnsi="Arial" w:eastAsia="Arial" w:cs="Arial"/>
          <w:b/>
          <w:i w:val="0"/>
          <w:strike w:val="0"/>
          <w:sz w:val="24"/>
        </w:rPr>
        <w:t xml:space="preserve">ПОРЯДОК</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УСТАНОВЛЕНИЯ В ОРГАНИЗАЦИЯХ НЕЗАВИСИМО</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ОРГАНИЗАЦИОННО-ПРАВОВЫХ ФОРМ И ФОРМ СОБСТВЕННОСТИ КВОТЫ</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ПРИЕМА НА РАБОТУ ИНВАЛИДОВ И МИНИМАЛЬНОГО КОЛИЧЕСТВА</w:t>
      </w:r>
    </w:p>
    <w:p>
      <w:pPr>
        <w:pStyle w:val="Style_3"/>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СПЕЦИАЛЬНЫХ РАБОЧИХ МЕСТ ДЛЯ ИНВАЛИДОВ (ДАЛЕЕ - ПОРЯДОК)</w:t>
      </w:r>
    </w:p>
    <w:p>
      <w:pPr>
        <w:pStyle w:val="Style_1"/>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left w:val="none"/>
              <w:bottom w:val="none"/>
              <w:right w:val="none"/>
            </w:tcBorders>
            <w:shd w:val="clear" w:color="ced3f1" w:fill="ced3f1"/>
            <w:tcMar>
              <w:left w:w="0" w:type="dxa"/>
              <w:top w:w="0" w:type="dxa"/>
              <w:right w:w="0" w:type="dxa"/>
              <w:bottom w:w="0" w:type="dxa"/>
            </w:tcMar>
            <w:vAlign w:val="top"/>
          </w:tcPr>
          <w:p>
            <w:pPr>
              <w:pStyle w:val="Style_1"/>
              <w:spacing w:before="0" w:after="0" w:line="240" w:lineRule="auto"/>
              <w:jc w:val="left"/>
              <w:rPr>
                <w:sz w:val="24"/>
              </w:rPr>
            </w:pP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jc w:val="left"/>
              <w:rPr>
                <w:sz w:val="24"/>
              </w:rPr>
            </w:pPr>
          </w:p>
        </w:tc>
        <w:tc>
          <w:tcPr>
            <w:tcW w:w="9921" w:type="dxa"/>
            <w:tcBorders>
              <w:top w:val="none"/>
              <w:left w:val="none"/>
              <w:bottom w:val="none"/>
              <w:right w:val="none"/>
            </w:tcBorders>
            <w:shd w:val="clear" w:color="f4f3f8" w:fill="f4f3f8"/>
            <w:tcMar>
              <w:left w:w="0" w:type="dxa"/>
              <w:top w:w="113" w:type="dxa"/>
              <w:right w:w="0" w:type="dxa"/>
              <w:bottom w:w="113"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(введен </w:t>
            </w:r>
            <w:hyperlink r:id="rId67">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color w:val="392c69"/>
                <w:sz w:val="24"/>
              </w:rPr>
              <w:t xml:space="preserve"> Правительства ХМАО - Югры от 18.06.2021 N 222-п;</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ХМАО - Югры от 14.01.2022 </w:t>
            </w:r>
            <w:hyperlink r:id="rId68">
              <w:r>
                <w:rPr>
                  <w:rFonts w:ascii="TimesNewRoman" w:hAnsi="TimesNewRoman" w:eastAsia="TimesNewRoman" w:cs="TimesNewRoman"/>
                  <w:b w:val="0"/>
                  <w:i w:val="0"/>
                  <w:strike w:val="0"/>
                  <w:color w:val="0000ff"/>
                  <w:sz w:val="24"/>
                </w:rPr>
                <w:t xml:space="preserve">N 3-п</w:t>
              </w:r>
            </w:hyperlink>
            <w:r>
              <w:rPr>
                <w:rFonts w:ascii="TimesNewRoman" w:hAnsi="TimesNewRoman" w:eastAsia="TimesNewRoman" w:cs="TimesNewRoman"/>
                <w:b w:val="0"/>
                <w:i w:val="0"/>
                <w:strike w:val="0"/>
                <w:color w:val="392c69"/>
                <w:sz w:val="24"/>
              </w:rPr>
              <w:t xml:space="preserve">,</w:t>
            </w:r>
          </w:p>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01.07.2022 </w:t>
            </w:r>
            <w:hyperlink r:id="rId69">
              <w:r>
                <w:rPr>
                  <w:rFonts w:ascii="TimesNewRoman" w:hAnsi="TimesNewRoman" w:eastAsia="TimesNewRoman" w:cs="TimesNewRoman"/>
                  <w:b w:val="0"/>
                  <w:i w:val="0"/>
                  <w:strike w:val="0"/>
                  <w:color w:val="0000ff"/>
                  <w:sz w:val="24"/>
                </w:rPr>
                <w:t xml:space="preserve">N 299-п</w:t>
              </w:r>
            </w:hyperlink>
            <w:r>
              <w:rPr>
                <w:rFonts w:ascii="TimesNewRoman" w:hAnsi="TimesNewRoman" w:eastAsia="TimesNewRoman" w:cs="TimesNewRoman"/>
                <w:b w:val="0"/>
                <w:i w:val="0"/>
                <w:strike w:val="0"/>
                <w:color w:val="392c69"/>
                <w:sz w:val="24"/>
              </w:rPr>
              <w:t xml:space="preserve">, от 20.07.2023 </w:t>
            </w:r>
            <w:hyperlink r:id="rId70">
              <w:r>
                <w:rPr>
                  <w:rFonts w:ascii="TimesNewRoman" w:hAnsi="TimesNewRoman" w:eastAsia="TimesNewRoman" w:cs="TimesNewRoman"/>
                  <w:b w:val="0"/>
                  <w:i w:val="0"/>
                  <w:strike w:val="0"/>
                  <w:color w:val="0000ff"/>
                  <w:sz w:val="24"/>
                </w:rPr>
                <w:t xml:space="preserve">N 346-п</w:t>
              </w:r>
            </w:hyperlink>
            <w:r>
              <w:rPr>
                <w:rFonts w:ascii="TimesNewRoman" w:hAnsi="TimesNewRoman" w:eastAsia="TimesNewRoman" w:cs="TimesNewRoman"/>
                <w:b w:val="0"/>
                <w:i w:val="0"/>
                <w:strike w:val="0"/>
                <w:color w:val="392c69"/>
                <w:sz w:val="24"/>
              </w:rPr>
              <w:t xml:space="preserve">)</w:t>
            </w:r>
          </w:p>
        </w:tc>
        <w:tc>
          <w:tcPr>
            <w:tcW w:w="113" w:type="dxa"/>
            <w:tcBorders>
              <w:top w:val="none"/>
              <w:left w:val="none"/>
              <w:bottom w:val="none"/>
              <w:right w:val="none"/>
            </w:tcBorders>
            <w:shd w:val="clear" w:color="f4f3f8" w:fill="f4f3f8"/>
            <w:tcMar>
              <w:left w:w="0" w:type="dxa"/>
              <w:top w:w="0" w:type="dxa"/>
              <w:right w:w="0" w:type="dxa"/>
              <w:bottom w:w="0" w:type="dxa"/>
            </w:tcMar>
            <w:vAlign w:val="top"/>
          </w:tcPr>
          <w:p>
            <w:pPr>
              <w:pStyle w:val="Style_1"/>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
        <w:spacing w:before="0" w:after="0" w:line="240" w:lineRule="auto"/>
        <w:ind w:left="0" w:firstLine="0"/>
        <w:jc w:val="both"/>
        <w:rPr>
          <w:rFonts w:ascii="TimesNewRoman" w:hAnsi="TimesNewRoman" w:eastAsia="TimesNewRoman" w:cs="TimesNewRoman"/>
          <w:b w:val="0"/>
          <w:i w:val="0"/>
          <w:strike w:val="0"/>
          <w:sz w:val="24"/>
        </w:rPr>
      </w:pPr>
    </w:p>
    <w:p>
      <w:pPr>
        <w:pStyle w:val="Style_1"/>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Порядок предусматривает процедуру установления организациями независимо от организационно-правовых форм и форм собственности в Ханты-Мансийском автономном округе - Югре (далее - работодатель) квоты для приема на работу инвалидов (далее - квота) и минимального количества специальных рабочих мест для инвалидов.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В Порядке применяются понятия в том же значении, что в Федеральном </w:t>
      </w:r>
      <w:hyperlink r:id="rId71">
        <w:r>
          <w:rPr>
            <w:rFonts w:ascii="TimesNewRoman" w:hAnsi="TimesNewRoman" w:eastAsia="TimesNewRoman" w:cs="TimesNewRoman"/>
            <w:b w:val="0"/>
            <w:i w:val="0"/>
            <w:strike w:val="0"/>
            <w:color w:val="0000ff"/>
            <w:sz w:val="24"/>
          </w:rPr>
          <w:t xml:space="preserve">законе</w:t>
        </w:r>
      </w:hyperlink>
      <w:r>
        <w:rPr>
          <w:rFonts w:ascii="TimesNewRoman" w:hAnsi="TimesNewRoman" w:eastAsia="TimesNewRoman" w:cs="TimesNewRoman"/>
          <w:b w:val="0"/>
          <w:i w:val="0"/>
          <w:strike w:val="0"/>
          <w:sz w:val="24"/>
        </w:rPr>
        <w:t xml:space="preserve"> от 24 ноября 1995 года N 181-ФЗ "О социальной защите инвалидов в Российской Федерации", </w:t>
      </w:r>
      <w:hyperlink r:id="rId72">
        <w:r>
          <w:rPr>
            <w:rFonts w:ascii="TimesNewRoman" w:hAnsi="TimesNewRoman" w:eastAsia="TimesNewRoman" w:cs="TimesNewRoman"/>
            <w:b w:val="0"/>
            <w:i w:val="0"/>
            <w:strike w:val="0"/>
            <w:color w:val="0000ff"/>
            <w:sz w:val="24"/>
          </w:rPr>
          <w:t xml:space="preserve">Законе</w:t>
        </w:r>
      </w:hyperlink>
      <w:r>
        <w:rPr>
          <w:rFonts w:ascii="TimesNewRoman" w:hAnsi="TimesNewRoman" w:eastAsia="TimesNewRoman" w:cs="TimesNewRoman"/>
          <w:b w:val="0"/>
          <w:i w:val="0"/>
          <w:strike w:val="0"/>
          <w:sz w:val="24"/>
        </w:rPr>
        <w:t xml:space="preserve"> Ханты-Мансийского автономного округа - Югры от 23 декабря 2004 года N 89-оз "О гарантиях трудовой занятости инвалидов в Ханты-Мансийском автономном округе - Югре".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От соблюдения установленной квоты освобождаются:</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утратил силу с 1 марта 2022 года. - </w:t>
      </w:r>
      <w:hyperlink r:id="rId73">
        <w:r>
          <w:rPr>
            <w:rFonts w:ascii="TimesNewRoman" w:hAnsi="TimesNewRoman" w:eastAsia="TimesNewRoman" w:cs="TimesNewRoman"/>
            <w:b w:val="0"/>
            <w:i w:val="0"/>
            <w:strike w:val="0"/>
            <w:color w:val="0000ff"/>
            <w:sz w:val="24"/>
          </w:rPr>
          <w:t xml:space="preserve">Постановление</w:t>
        </w:r>
      </w:hyperlink>
      <w:r>
        <w:rPr>
          <w:rFonts w:ascii="TimesNewRoman" w:hAnsi="TimesNewRoman" w:eastAsia="TimesNewRoman" w:cs="TimesNewRoman"/>
          <w:b w:val="0"/>
          <w:i w:val="0"/>
          <w:strike w:val="0"/>
          <w:sz w:val="24"/>
        </w:rPr>
        <w:t xml:space="preserve"> Правительства ХМАО - Югры от 14.01.2022 N 3-п;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работодатели, которые проходят процедуру реорганизации, а также находящиеся в стадии ликвидации или банкротства;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работодатели, в отношении которых в установленном законодательством порядке принято решение об их ликвидации.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 Работодатели самостоятельно устанавливают квоту путем принятия правового акта, где указывают количество квотируемых рабочих мест для инвалидов в разрезе профессий.</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 Квоту устанавливает работодатель, численность работников которого составляет не менее чем 35 человек, и определяет ее в размере 2 процентов от среднесписочной численности работников с учетом работающих граждан из числа категории, для которой введено квотирование рабочих мест.</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 Работодатели устанавливают квоту с учетом </w:t>
      </w:r>
      <w:hyperlink r:id="rId74">
        <w:r>
          <w:rPr>
            <w:rFonts w:ascii="TimesNewRoman" w:hAnsi="TimesNewRoman" w:eastAsia="TimesNewRoman" w:cs="TimesNewRoman"/>
            <w:b w:val="0"/>
            <w:i w:val="0"/>
            <w:strike w:val="0"/>
            <w:color w:val="0000ff"/>
            <w:sz w:val="24"/>
          </w:rPr>
          <w:t xml:space="preserve">Правил</w:t>
        </w:r>
      </w:hyperlink>
      <w:r>
        <w:rPr>
          <w:rFonts w:ascii="TimesNewRoman" w:hAnsi="TimesNewRoman" w:eastAsia="TimesNewRoman" w:cs="TimesNewRoman"/>
          <w:b w:val="0"/>
          <w:i w:val="0"/>
          <w:strike w:val="0"/>
          <w:sz w:val="24"/>
        </w:rPr>
        <w:t xml:space="preserve"> выполнения работодателем квоты для приема на работу инвалидов при оформлении трудовых отношений с инвалидом на любое рабочее место, утвержденных постановлением Правительства Российской Федерации от 14 марта 2022 года N 366, исходя из среднесписочной численности работников, которая исчисляется в порядке, определенном Федеральной службой государственной статистики.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6 в ред. </w:t>
      </w:r>
      <w:hyperlink r:id="rId75">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 При исчислении квоты в среднесписочную численность не включаются работники, условия труда которых отнесены к вредным и (или) опасным условиям труда по результатам специальной оценки условий труда.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 При исчислении квоты в среднесписочную численность не включаются работники, замещающие должности, замещение которых в соответствии с федеральными законами и иными нормативными правовыми актами Российской Федерации, законами и иными нормативными правовыми актами автономного округа, муниципальными нормативными правовыми актами осуществляется путем избрания на должность, избрания по конкурсу на замещение соответствующей должности, назначения на должность или утверждения в должности.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 Работодатели, имеющие обособленные подразделения (филиалы и представительства) на территории автономного округа, исчисляют квоту исходя из среднесписочной численности их работников с учетом обособленных подразделений (филиалов, представительств) и распределяют ее между ними пропорционально численности работающих в каждом обособленном подразделении (филиале, представительстве).</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 Если обособленное подразделение (филиал, представительство) наделено правом заключать трудовые договоры, оно самостоятельно исчисляет квоту исходя из среднесписочной численности работников обособленного подразделения (филиала, представительства).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Расчет квоты производится без учета обособленных подразделений (филиалов, представительств), расположенных в других субъектах Российской Федерации.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Утратил силу с 1 сентября 2022 года. - </w:t>
      </w:r>
      <w:hyperlink r:id="rId76">
        <w:r>
          <w:rPr>
            <w:rFonts w:ascii="TimesNewRoman" w:hAnsi="TimesNewRoman" w:eastAsia="TimesNewRoman" w:cs="TimesNewRoman"/>
            <w:b w:val="0"/>
            <w:i w:val="0"/>
            <w:strike w:val="0"/>
            <w:color w:val="0000ff"/>
            <w:sz w:val="24"/>
          </w:rPr>
          <w:t xml:space="preserve">Постановление</w:t>
        </w:r>
      </w:hyperlink>
      <w:r>
        <w:rPr>
          <w:rFonts w:ascii="TimesNewRoman" w:hAnsi="TimesNewRoman" w:eastAsia="TimesNewRoman" w:cs="TimesNewRoman"/>
          <w:b w:val="0"/>
          <w:i w:val="0"/>
          <w:strike w:val="0"/>
          <w:sz w:val="24"/>
        </w:rPr>
        <w:t xml:space="preserve"> Правительства ХМАО - Югры от 01.07.2022 N 299-п.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 Минимальное количество специальных рабочих мест для инвалидов устанавливает работодатель самостоятельно в пределах квоты со среднесписочной численностью, используемой для исчисления квоты: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101 до 500 человек - 1 специальное рабочее место;</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501 до 1000 человек - 2 специальных рабочих места;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1001 до 5000 человек - 3 специальных рабочих места;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более 5001 человека - 4 специальных рабочих места.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 Работодатели вправе создавать (выделять) дополнительные рабочие места (в том числе специальные) сверх установленной квоты.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 В случае невозможности создания или выделения рабочих мест в счет установленной квоты работодатель вправе профинансировать создание или выделение рабочих мест для трудоустройства инвалидов, проживающих в Ханты-Мансийском автономном округе - Югре, в других организациях или у индивидуальных предпринимателей, осуществляющих деятельность в Ханты-Мансийском автономном округе - Югре (далее совместно - организации), в соответствии с заключенными договорами (соглашениями) о трудоустройстве инвалидов, подлежащими обязательной регистрации в Департаменте труда и занятости населения Ханты-Мансийского автономного округа - Югры (далее - Департамент) в порядке, утверждаемом Департаментом.</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77">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договоре (соглашении) о трудоустройстве инвалидов указываются:</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w:t>
      </w:r>
      <w:hyperlink r:id="rId78">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условия возмещения расходов, связанных с выплатами инвалидам, указанными в настоящем пункте;</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w:t>
      </w:r>
      <w:hyperlink r:id="rId79">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инвалидов, которые могут быть приняты на работу;</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w:t>
      </w:r>
      <w:hyperlink r:id="rId80">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условия оборудования рабочего места инвалида, необходимость создания специальных условий, обеспечивающих доступность рабочего места для инвалида;</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w:t>
      </w:r>
      <w:hyperlink r:id="rId81">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условия выплаты заработной платы инвалиду в соответствии со </w:t>
      </w:r>
      <w:hyperlink r:id="rId82">
        <w:r>
          <w:rPr>
            <w:rFonts w:ascii="TimesNewRoman" w:hAnsi="TimesNewRoman" w:eastAsia="TimesNewRoman" w:cs="TimesNewRoman"/>
            <w:b w:val="0"/>
            <w:i w:val="0"/>
            <w:strike w:val="0"/>
            <w:color w:val="0000ff"/>
            <w:sz w:val="24"/>
          </w:rPr>
          <w:t xml:space="preserve">статьей 136</w:t>
        </w:r>
      </w:hyperlink>
      <w:r>
        <w:rPr>
          <w:rFonts w:ascii="TimesNewRoman" w:hAnsi="TimesNewRoman" w:eastAsia="TimesNewRoman" w:cs="TimesNewRoman"/>
          <w:b w:val="0"/>
          <w:i w:val="0"/>
          <w:strike w:val="0"/>
          <w:sz w:val="24"/>
        </w:rPr>
        <w:t xml:space="preserve"> Трудового кодекса Российской Федерации.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w:t>
      </w:r>
      <w:hyperlink r:id="rId83">
        <w:r>
          <w:rPr>
            <w:rFonts w:ascii="TimesNewRoman" w:hAnsi="TimesNewRoman" w:eastAsia="TimesNewRoman" w:cs="TimesNewRoman"/>
            <w:b w:val="0"/>
            <w:i w:val="0"/>
            <w:strike w:val="0"/>
            <w:color w:val="0000ff"/>
            <w:sz w:val="24"/>
          </w:rPr>
          <w:t xml:space="preserve">постановлением</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расчет объема финансирования на содержание рабочего места для трудоустройства инвалида в счет квоты включаются расходы, в том числе на выплаты инвалиду, рассчитанные в соответствии с системой оплаты труда организации (трудовым договором) и установленными трудовым законодательством гарантиями, состоящие из:</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84">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фонда оплаты труда (не ниже установленного федеральным законом минимального размера оплаты труда) с применением районного коэффициента и процентных надбавок к заработной плате, иных выплат и гарантий, предусмотренных трудовым законодательством Российской Федерации, а также компенсационных выплат, если такие выплаты установлены локальными нормативными актами организации;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85">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оплаты ежегодного основного оплачиваемого отпуска, ежегодного дополнительного оплачиваемого отпуска за работу для лиц, работающих и проживающих в районах Крайнего Севера и приравненных к ним местностях, в соответствии с законодательством Российской Федерации;</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единовременной выплаты при предоставлении ежегодного оплачиваемого отпуска и материальной помощи, если такие выплаты установлены локальными нормативными актами организации;</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w:t>
      </w:r>
      <w:hyperlink r:id="rId86">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компенсации расходов на оплату стоимости проезда и провоза багажа к месту использования отпуска и обратно;</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оплаты медицинского осмотра;</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затрат, необходимых для создания, оборудования (оснащения) рабочего места для трудоустройства инвалидов в счет квоты;</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оплаты налогов и сборов.</w:t>
      </w:r>
    </w:p>
    <w:p>
      <w:pPr>
        <w:pStyle w:val="Style_1"/>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 Департамент осуществляет мониторинг выполнения работодателями квоты, а также квоты по договорам (соглашениям) о трудоустройстве инвалидов, методическое сопровождение квотирования рабочих мест для трудоустройства инвалидов в порядке, утвержденном Департаментом.</w:t>
      </w:r>
    </w:p>
    <w:p>
      <w:pPr>
        <w:pStyle w:val="Style_1"/>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16 в ред. </w:t>
      </w:r>
      <w:hyperlink r:id="rId87">
        <w:r>
          <w:rPr>
            <w:rFonts w:ascii="TimesNewRoman" w:hAnsi="TimesNewRoman" w:eastAsia="TimesNewRoman" w:cs="TimesNewRoman"/>
            <w:b w:val="0"/>
            <w:i w:val="0"/>
            <w:strike w:val="0"/>
            <w:color w:val="0000ff"/>
            <w:sz w:val="24"/>
          </w:rPr>
          <w:t xml:space="preserve">постановления</w:t>
        </w:r>
      </w:hyperlink>
      <w:r>
        <w:rPr>
          <w:rFonts w:ascii="TimesNewRoman" w:hAnsi="TimesNewRoman" w:eastAsia="TimesNewRoman" w:cs="TimesNewRoman"/>
          <w:b w:val="0"/>
          <w:i w:val="0"/>
          <w:strike w:val="0"/>
          <w:sz w:val="24"/>
        </w:rPr>
        <w:t xml:space="preserve"> Правительства ХМАО - Югры от 20.07.2023 N 346-п)</w:t>
      </w:r>
    </w:p>
    <w:p>
      <w:pPr>
        <w:pStyle w:val="Style_1"/>
        <w:spacing w:before="0" w:after="0" w:line="240" w:lineRule="auto"/>
        <w:ind w:left="0" w:firstLine="0"/>
        <w:jc w:val="both"/>
        <w:rPr>
          <w:rFonts w:ascii="TimesNewRoman" w:hAnsi="TimesNewRoman" w:eastAsia="TimesNewRoman" w:cs="TimesNewRoman"/>
          <w:b w:val="0"/>
          <w:i w:val="0"/>
          <w:strike w:val="0"/>
          <w:sz w:val="24"/>
        </w:rPr>
      </w:pPr>
    </w:p>
    <w:p>
      <w:pPr>
        <w:pStyle w:val="Style_1"/>
        <w:spacing w:before="0" w:after="0" w:line="240" w:lineRule="auto"/>
        <w:ind w:left="0" w:firstLine="0"/>
        <w:jc w:val="both"/>
        <w:rPr>
          <w:rFonts w:ascii="TimesNewRoman" w:hAnsi="TimesNewRoman" w:eastAsia="TimesNewRoman" w:cs="TimesNewRoman"/>
          <w:b w:val="0"/>
          <w:i w:val="0"/>
          <w:strike w:val="0"/>
          <w:sz w:val="24"/>
        </w:rPr>
      </w:pPr>
    </w:p>
    <w:p>
      <w:pPr>
        <w:pStyle w:val="Style_1"/>
        <w:pBdr>
          <w:top w:val="single"/>
        </w:pBdr>
        <w:spacing w:before="100" w:after="100" w:line="240" w:lineRule="auto"/>
        <w:ind w:left="0" w:firstLine="0"/>
        <w:jc w:val="both"/>
        <w:rPr>
          <w:rFonts w:ascii="TimesNewRoman" w:hAnsi="TimesNewRoman" w:eastAsia="TimesNewRoman" w:cs="TimesNew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pStyle w:val="Style_1"/>
        <w:spacing w:before="0" w:after="0" w:line="240" w:lineRule="auto"/>
        <w:jc w:val="left"/>
        <w:rPr>
          <w:sz w:val="24"/>
        </w:rPr>
      </w:pPr>
      <w:r>
        <w:rPr>
          <w:rFonts w:ascii="TimesNewRoman" w:hAnsi="TimesNewRoman" w:eastAsia="TimesNewRoman" w:cs="TimesNewRoman"/>
          <w:sz w:val="24"/>
        </w:rPr>
        <w:separator/>
      </w:r>
    </w:p>
  </w:endnote>
  <w:endnote w:type="continuationSeparator" w:id="1">
    <w:p>
      <w:pPr>
        <w:pStyle w:val="Style_1"/>
        <w:spacing w:before="0" w:after="0" w:line="240" w:lineRule="auto"/>
        <w:jc w:val="left"/>
        <w:rPr>
          <w:sz w:val="24"/>
        </w:rPr>
      </w:pPr>
      <w:r>
        <w:rPr>
          <w:rFonts w:ascii="TimesNewRoman" w:hAnsi="TimesNewRoman" w:eastAsia="TimesNewRoman" w:cs="TimesNewRoman"/>
          <w:sz w:val="24"/>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New">
    <w:panose1 w:val="02070309020205020404"/>
  </w:font>
  <w:font w:name="TimesNewRoman">
    <w:panose1 w:val="020206030504050203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_1"/>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pStyle w:val="Style_1"/>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000000"/>
              <w:sz w:val="16"/>
            </w:rPr>
            <w:br/>
          </w:r>
          <w:r>
            <w:rPr>
              <w:rFonts w:ascii="Tahoma" w:hAnsi="Tahoma" w:eastAsia="Tahoma" w:cs="Tahoma"/>
              <w:b/>
              <w:i w:val="0"/>
              <w:color w:val="000000"/>
              <w:sz w:val="16"/>
            </w:rPr>
            <w:t xml:space="preserve">надежная правовая поддержка</w:t>
          </w:r>
        </w:p>
      </w:tc>
      <w:tc>
        <w:tcPr>
          <w:tcW w:w="3470" w:type="dxa"/>
          <w:tcBorders>
            <w:top w:val="none" w:sz="2"/>
            <w:left w:val="none" w:sz="2"/>
            <w:bottom w:val="none" w:sz="2"/>
            <w:right w:val="none" w:sz="2"/>
          </w:tcBorders>
          <w:vAlign w:val="center"/>
        </w:tcPr>
        <w:p>
          <w:pPr>
            <w:pStyle w:val="Style_1"/>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pStyle w:val="Style_1"/>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rPr>
              <w:rFonts w:ascii="Tahoma" w:hAnsi="Tahoma" w:eastAsia="Tahoma" w:cs="Tahoma"/>
              <w:sz w:val="24"/>
            </w:rPr>
            <w:fldChar w:fldCharType="begin"/>
          </w:r>
          <w:r>
            <w:rPr>
              <w:rFonts w:ascii="Tahoma" w:hAnsi="Tahoma" w:eastAsia="Tahoma" w:cs="Tahoma"/>
              <w:sz w:val="24"/>
            </w:rPr>
            <w:instrText xml:space="preserve">\PAGE</w:instrText>
          </w:r>
          <w:r>
            <w:fldChar w:fldCharType="separate"/>
          </w:r>
          <w:r>
            <w:rPr>
              <w:rFonts w:ascii="Tahoma" w:hAnsi="Tahoma" w:eastAsia="Tahoma" w:cs="Tahoma"/>
              <w:sz w:val="24"/>
            </w:rPr>
          </w:r>
          <w:r>
            <w:fldChar w:fldCharType="end"/>
          </w:r>
          <w:r>
            <w:rPr>
              <w:rFonts w:ascii="Tahoma" w:hAnsi="Tahoma" w:eastAsia="Tahoma" w:cs="Tahoma"/>
              <w:b w:val="0"/>
              <w:i w:val="0"/>
              <w:sz w:val="20"/>
            </w:rPr>
            <w:t xml:space="preserve"> из </w:t>
          </w:r>
          <w:r>
            <w:rPr>
              <w:rFonts w:ascii="Tahoma" w:hAnsi="Tahoma" w:eastAsia="Tahoma" w:cs="Tahoma"/>
              <w:sz w:val="24"/>
            </w:rPr>
            <w:fldChar w:fldCharType="begin"/>
          </w:r>
          <w:r>
            <w:rPr>
              <w:rFonts w:ascii="Tahoma" w:hAnsi="Tahoma" w:eastAsia="Tahoma" w:cs="Tahoma"/>
              <w:sz w:val="24"/>
            </w:rPr>
            <w:instrText xml:space="preserve">\NUMPAGES</w:instrText>
          </w:r>
          <w:r>
            <w:fldChar w:fldCharType="separate"/>
          </w:r>
          <w:r>
            <w:rPr>
              <w:rFonts w:ascii="Tahoma" w:hAnsi="Tahoma" w:eastAsia="Tahoma" w:cs="Tahoma"/>
              <w:sz w:val="24"/>
            </w:rPr>
          </w:r>
          <w:r>
            <w:fldChar w:fldCharType="end"/>
          </w:r>
        </w:p>
      </w:tc>
    </w:tr>
  </w:tbl>
  <w:p>
    <w:pPr>
      <w:pStyle w:val="Style_1"/>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pStyle w:val="Style_1"/>
        <w:spacing w:before="0" w:after="0" w:line="240" w:lineRule="auto"/>
        <w:jc w:val="left"/>
        <w:rPr>
          <w:sz w:val="24"/>
        </w:rPr>
      </w:pPr>
      <w:r>
        <w:rPr>
          <w:rFonts w:ascii="TimesNewRoman" w:hAnsi="TimesNewRoman" w:eastAsia="TimesNewRoman" w:cs="TimesNewRoman"/>
          <w:sz w:val="24"/>
        </w:rPr>
        <w:separator/>
      </w:r>
    </w:p>
  </w:footnote>
  <w:footnote w:type="continuationSeparator" w:id="1">
    <w:p>
      <w:pPr>
        <w:pStyle w:val="Style_1"/>
        <w:spacing w:before="0" w:after="0" w:line="240" w:lineRule="auto"/>
        <w:jc w:val="left"/>
        <w:rPr>
          <w:sz w:val="24"/>
        </w:rPr>
      </w:pPr>
      <w:r>
        <w:rPr>
          <w:rFonts w:ascii="TimesNewRoman" w:hAnsi="TimesNewRoman" w:eastAsia="TimesNewRoman" w:cs="TimesNewRoman"/>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pStyle w:val="Style_1"/>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Постановление Правительства ХМАО - Югры от 25.12.2015 N 491-п</w:t>
          </w:r>
          <w:r>
            <w:rPr>
              <w:rFonts w:ascii="Tahoma" w:hAnsi="Tahoma" w:eastAsia="Tahoma" w:cs="Tahoma"/>
              <w:b w:val="0"/>
              <w:i w:val="0"/>
              <w:sz w:val="16"/>
            </w:rPr>
            <w:br/>
          </w:r>
          <w:r>
            <w:rPr>
              <w:rFonts w:ascii="Tahoma" w:hAnsi="Tahoma" w:eastAsia="Tahoma" w:cs="Tahoma"/>
              <w:b w:val="0"/>
              <w:i w:val="0"/>
              <w:sz w:val="16"/>
            </w:rPr>
            <w:t xml:space="preserve">(ред. от 20.07.2023)</w:t>
          </w:r>
          <w:r>
            <w:rPr>
              <w:rFonts w:ascii="Tahoma" w:hAnsi="Tahoma" w:eastAsia="Tahoma" w:cs="Tahoma"/>
              <w:b w:val="0"/>
              <w:i w:val="0"/>
              <w:sz w:val="16"/>
            </w:rPr>
            <w:br/>
          </w:r>
          <w:r>
            <w:rPr>
              <w:rFonts w:ascii="Tahoma" w:hAnsi="Tahoma" w:eastAsia="Tahoma" w:cs="Tahoma"/>
              <w:b w:val="0"/>
              <w:i w:val="0"/>
              <w:sz w:val="16"/>
            </w:rPr>
            <w:t xml:space="preserve">"Об утверждении порядка создания усло...</w:t>
          </w:r>
        </w:p>
      </w:tc>
      <w:tc>
        <w:tcPr>
          <w:tcW w:w="4695" w:type="dxa"/>
          <w:tcBorders>
            <w:top w:val="none" w:sz="2"/>
            <w:left w:val="none" w:sz="2"/>
            <w:bottom w:val="none" w:sz="2"/>
            <w:right w:val="none" w:sz="2"/>
          </w:tcBorders>
          <w:vAlign w:val="center"/>
        </w:tcPr>
        <w:p>
          <w:pPr>
            <w:pStyle w:val="Style_1"/>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28.03.2024</w:t>
          </w:r>
        </w:p>
      </w:tc>
    </w:tr>
  </w:tbl>
  <w:p>
    <w:pPr>
      <w:pStyle w:val="Style_1"/>
      <w:pBdr>
        <w:bottom w:val="single" w:sz="12"/>
      </w:pBdr>
      <w:spacing w:before="0" w:after="0" w:line="240" w:lineRule="auto"/>
      <w:jc w:val="center"/>
      <w:rPr>
        <w:sz w:val="1"/>
      </w:rPr>
    </w:pPr>
  </w:p>
  <w:p>
    <w:pPr>
      <w:pStyle w:val="Style_1"/>
      <w:spacing w:before="0" w:after="0" w:line="240" w:lineRule="auto"/>
      <w:jc w:val="center"/>
      <w:rPr>
        <w:sz w:val="10"/>
      </w:rPr>
    </w:pPr>
    <w:r>
      <w:rPr>
        <w:rFonts w:ascii="Tahoma" w:hAnsi="Tahoma" w:eastAsia="Tahoma" w:cs="Tahoma"/>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endnotePr>
    <w:endnote w:id="0"/>
    <w:endnote w:id="1"/>
  </w:endnotePr>
  <w:compat>
    <w:forgetLastTabAlignment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1">
    <w:name w:val="       ConsPlusNormal"/>
    <w:pPr>
      <w:spacing w:before="0" w:after="0" w:line="240" w:lineRule="auto"/>
      <w:jc w:val="left"/>
    </w:pPr>
    <w:rPr>
      <w:rFonts w:ascii="TimesNewRoman" w:hAnsi="TimesNewRoman" w:eastAsia="TimesNewRoman" w:cs="TimesNewRoman"/>
      <w:b w:val="0"/>
      <w:i w:val="0"/>
      <w:strike w:val="0"/>
      <w:sz w:val="24"/>
    </w:rPr>
  </w:style>
  <w:style w:type="paragraph" w:styleId="Style_2">
    <w:name w:val="       ConsPlusNonformat"/>
    <w:pPr>
      <w:spacing w:before="0" w:after="0" w:line="240" w:lineRule="auto"/>
      <w:jc w:val="left"/>
    </w:pPr>
    <w:rPr>
      <w:rFonts w:ascii="CourierNew" w:hAnsi="CourierNew" w:eastAsia="CourierNew" w:cs="CourierNew"/>
      <w:b w:val="0"/>
      <w:i w:val="0"/>
      <w:strike w:val="0"/>
      <w:sz w:val="20"/>
    </w:rPr>
  </w:style>
  <w:style w:type="paragraph" w:styleId="Style_3">
    <w:name w:val="       ConsPlusTitle"/>
    <w:pPr>
      <w:spacing w:before="0" w:after="0" w:line="240" w:lineRule="auto"/>
      <w:jc w:val="left"/>
    </w:pPr>
    <w:rPr>
      <w:rFonts w:ascii="Arial" w:hAnsi="Arial" w:eastAsia="Arial" w:cs="Arial"/>
      <w:b/>
      <w:i w:val="0"/>
      <w:strike w:val="0"/>
      <w:sz w:val="24"/>
    </w:rPr>
  </w:style>
  <w:style w:type="paragraph" w:styleId="Style_4">
    <w:name w:val="       ConsPlusCell"/>
    <w:pPr>
      <w:spacing w:before="0" w:after="0" w:line="240" w:lineRule="auto"/>
      <w:jc w:val="left"/>
    </w:pPr>
    <w:rPr>
      <w:rFonts w:ascii="CourierNew" w:hAnsi="CourierNew" w:eastAsia="CourierNew" w:cs="CourierNew"/>
      <w:b w:val="0"/>
      <w:i w:val="0"/>
      <w:strike w:val="0"/>
      <w:sz w:val="20"/>
    </w:rPr>
  </w:style>
  <w:style w:type="paragraph" w:styleId="Style_5">
    <w:name w:val="       ConsPlusDocList"/>
    <w:pPr>
      <w:spacing w:before="0" w:after="0" w:line="240" w:lineRule="auto"/>
      <w:jc w:val="left"/>
    </w:pPr>
    <w:rPr>
      <w:rFonts w:ascii="Tahoma" w:hAnsi="Tahoma" w:eastAsia="Tahoma" w:cs="Tahoma"/>
      <w:b w:val="0"/>
      <w:i w:val="0"/>
      <w:strike w:val="0"/>
      <w:sz w:val="18"/>
    </w:rPr>
  </w:style>
  <w:style w:type="paragraph" w:styleId="Style_6">
    <w:name w:val="       ConsPlusTitlePage"/>
    <w:pPr>
      <w:spacing w:before="0" w:after="0" w:line="240" w:lineRule="auto"/>
      <w:jc w:val="left"/>
    </w:pPr>
    <w:rPr>
      <w:rFonts w:ascii="Tahoma" w:hAnsi="Tahoma" w:eastAsia="Tahoma" w:cs="Tahoma"/>
      <w:b w:val="0"/>
      <w:i w:val="0"/>
      <w:strike w:val="0"/>
      <w:sz w:val="24"/>
    </w:rPr>
  </w:style>
  <w:style w:type="paragraph" w:styleId="Style_7">
    <w:name w:val="       ConsPlusJurTerm"/>
    <w:pPr>
      <w:spacing w:before="0" w:after="0" w:line="240" w:lineRule="auto"/>
      <w:jc w:val="left"/>
    </w:pPr>
    <w:rPr>
      <w:rFonts w:ascii="Tahoma" w:hAnsi="Tahoma" w:eastAsia="Tahoma" w:cs="Tahoma"/>
      <w:b w:val="0"/>
      <w:i w:val="0"/>
      <w:strike w:val="0"/>
      <w:sz w:val="26"/>
    </w:rPr>
  </w:style>
  <w:style w:type="paragraph" w:styleId="Style_8">
    <w:name w:val="       ConsPlusTextList"/>
    <w:pPr>
      <w:spacing w:before="0" w:after="0" w:line="240" w:lineRule="auto"/>
      <w:jc w:val="left"/>
    </w:pPr>
    <w:rPr>
      <w:rFonts w:ascii="TimesNewRoman" w:hAnsi="TimesNewRoman" w:eastAsia="TimesNewRoman" w:cs="TimesNewRoman"/>
      <w:b w:val="0"/>
      <w:i w:val="0"/>
      <w:strike w:val="0"/>
      <w:sz w:val="24"/>
    </w:rPr>
  </w:style>
  <w:style w:type="paragraph" w:styleId="Style_9">
    <w:name w:val="       ConsPlusTextList"/>
    <w:pPr>
      <w:spacing w:before="0" w:after="0" w:line="240" w:lineRule="auto"/>
      <w:jc w:val="left"/>
    </w:pPr>
    <w:rPr>
      <w:rFonts w:ascii="TimesNewRoman" w:hAnsi="TimesNewRoman" w:eastAsia="TimesNewRoman" w:cs="TimesNew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RLAW926&amp;n=151526&amp;date=28.03.2024&amp;dst=100007&amp;field=134" TargetMode="External"/><Relationship Id="rId14" Type="http://schemas.openxmlformats.org/officeDocument/2006/relationships/hyperlink" Target="https://login.consultant.ru/link/?req=doc&amp;base=RLAW926&amp;n=200822&amp;date=28.03.2024&amp;dst=100005&amp;field=134" TargetMode="External"/><Relationship Id="rId15" Type="http://schemas.openxmlformats.org/officeDocument/2006/relationships/hyperlink" Target="https://login.consultant.ru/link/?req=doc&amp;base=RLAW926&amp;n=234288&amp;date=28.03.2024&amp;dst=100005&amp;field=134" TargetMode="External"/><Relationship Id="rId16" Type="http://schemas.openxmlformats.org/officeDocument/2006/relationships/hyperlink" Target="https://login.consultant.ru/link/?req=doc&amp;base=RLAW926&amp;n=247052&amp;date=28.03.2024&amp;dst=100005&amp;field=134" TargetMode="External"/><Relationship Id="rId17" Type="http://schemas.openxmlformats.org/officeDocument/2006/relationships/hyperlink" Target="https://login.consultant.ru/link/?req=doc&amp;base=RLAW926&amp;n=258617&amp;date=28.03.2024&amp;dst=100005&amp;field=134" TargetMode="External"/><Relationship Id="rId18" Type="http://schemas.openxmlformats.org/officeDocument/2006/relationships/hyperlink" Target="https://login.consultant.ru/link/?req=doc&amp;base=RLAW926&amp;n=283734&amp;date=28.03.2024&amp;dst=100005&amp;field=134" TargetMode="External"/><Relationship Id="rId19" Type="http://schemas.openxmlformats.org/officeDocument/2006/relationships/hyperlink" Target="https://login.consultant.ru/link/?req=doc&amp;base=LAW&amp;n=191451&amp;date=28.03.2024" TargetMode="External"/><Relationship Id="rId20" Type="http://schemas.openxmlformats.org/officeDocument/2006/relationships/hyperlink" Target="https://login.consultant.ru/link/?req=doc&amp;base=RLAW926&amp;n=288335&amp;date=28.03.2024&amp;dst=5&amp;field=134" TargetMode="External"/><Relationship Id="rId21" Type="http://schemas.openxmlformats.org/officeDocument/2006/relationships/hyperlink" Target="https://login.consultant.ru/link/?req=doc&amp;base=RLAW926&amp;n=200822&amp;date=28.03.2024&amp;dst=100006&amp;field=134" TargetMode="External"/><Relationship Id="rId22" Type="http://schemas.openxmlformats.org/officeDocument/2006/relationships/hyperlink" Target="https://login.consultant.ru/link/?req=doc&amp;base=RLAW926&amp;n=234288&amp;date=28.03.2024&amp;dst=100007&amp;field=134" TargetMode="External"/><Relationship Id="rId23" Type="http://schemas.openxmlformats.org/officeDocument/2006/relationships/hyperlink" Target="https://login.consultant.ru/link/?req=doc&amp;base=RLAW926&amp;n=200822&amp;date=28.03.2024&amp;dst=100007&amp;field=134" TargetMode="External"/><Relationship Id="rId24" Type="http://schemas.openxmlformats.org/officeDocument/2006/relationships/hyperlink" Target="https://login.consultant.ru/link/?req=doc&amp;base=RLAW926&amp;n=258617&amp;date=28.03.2024&amp;dst=100006&amp;field=134" TargetMode="External"/><Relationship Id="rId25" Type="http://schemas.openxmlformats.org/officeDocument/2006/relationships/hyperlink" Target="https://login.consultant.ru/link/?req=doc&amp;base=LAW&amp;n=469771&amp;date=28.03.2024" TargetMode="External"/><Relationship Id="rId26" Type="http://schemas.openxmlformats.org/officeDocument/2006/relationships/hyperlink" Target="https://login.consultant.ru/link/?req=doc&amp;base=LAW&amp;n=464193&amp;date=28.03.2024" TargetMode="External"/><Relationship Id="rId27" Type="http://schemas.openxmlformats.org/officeDocument/2006/relationships/hyperlink" Target="https://login.consultant.ru/link/?req=doc&amp;base=LAW&amp;n=451872&amp;date=28.03.2024&amp;dst=100160&amp;field=134" TargetMode="External"/><Relationship Id="rId28" Type="http://schemas.openxmlformats.org/officeDocument/2006/relationships/hyperlink" Target="https://login.consultant.ru/link/?req=doc&amp;base=LAW&amp;n=452984&amp;date=28.03.2024" TargetMode="External"/><Relationship Id="rId29" Type="http://schemas.openxmlformats.org/officeDocument/2006/relationships/hyperlink" Target="https://login.consultant.ru/link/?req=doc&amp;base=LAW&amp;n=166866&amp;date=28.03.2024" TargetMode="External"/><Relationship Id="rId30" Type="http://schemas.openxmlformats.org/officeDocument/2006/relationships/hyperlink" Target="https://login.consultant.ru/link/?req=doc&amp;base=LAW&amp;n=161450&amp;date=28.03.2024" TargetMode="External"/><Relationship Id="rId31" Type="http://schemas.openxmlformats.org/officeDocument/2006/relationships/hyperlink" Target="https://login.consultant.ru/link/?req=doc&amp;base=LAW&amp;n=372741&amp;date=28.03.2024&amp;dst=100015&amp;field=134" TargetMode="External"/><Relationship Id="rId32" Type="http://schemas.openxmlformats.org/officeDocument/2006/relationships/hyperlink" Target="https://login.consultant.ru/link/?req=doc&amp;base=RLAW926&amp;n=288335&amp;date=28.03.2024&amp;dst=9&amp;field=134" TargetMode="External"/><Relationship Id="rId33" Type="http://schemas.openxmlformats.org/officeDocument/2006/relationships/hyperlink" Target="https://login.consultant.ru/link/?req=doc&amp;base=RLAW926&amp;n=299111&amp;date=28.03.2024" TargetMode="External"/><Relationship Id="rId34" Type="http://schemas.openxmlformats.org/officeDocument/2006/relationships/hyperlink" Target="https://login.consultant.ru/link/?req=doc&amp;base=RLAW926&amp;n=200822&amp;date=28.03.2024&amp;dst=100007&amp;field=134" TargetMode="External"/><Relationship Id="rId35" Type="http://schemas.openxmlformats.org/officeDocument/2006/relationships/hyperlink" Target="https://login.consultant.ru/link/?req=doc&amp;base=RLAW926&amp;n=258617&amp;date=28.03.2024&amp;dst=100007&amp;field=134" TargetMode="External"/><Relationship Id="rId36" Type="http://schemas.openxmlformats.org/officeDocument/2006/relationships/hyperlink" Target="https://login.consultant.ru/link/?req=doc&amp;base=LAW&amp;n=464193&amp;date=28.03.2024" TargetMode="External"/><Relationship Id="rId37" Type="http://schemas.openxmlformats.org/officeDocument/2006/relationships/hyperlink" Target="https://login.consultant.ru/link/?req=doc&amp;base=LAW&amp;n=451872&amp;date=28.03.2024" TargetMode="External"/><Relationship Id="rId38" Type="http://schemas.openxmlformats.org/officeDocument/2006/relationships/hyperlink" Target="https://login.consultant.ru/link/?req=doc&amp;base=RLAW926&amp;n=258617&amp;date=28.03.2024&amp;dst=100008&amp;field=134" TargetMode="External"/><Relationship Id="rId39" Type="http://schemas.openxmlformats.org/officeDocument/2006/relationships/hyperlink" Target="https://login.consultant.ru/link/?req=doc&amp;base=RLAW926&amp;n=200822&amp;date=28.03.2024&amp;dst=100008&amp;field=134" TargetMode="External"/><Relationship Id="rId40" Type="http://schemas.openxmlformats.org/officeDocument/2006/relationships/hyperlink" Target="https://login.consultant.ru/link/?req=doc&amp;base=RLAW926&amp;n=258617&amp;date=28.03.2024&amp;dst=100009&amp;field=134" TargetMode="External"/><Relationship Id="rId41" Type="http://schemas.openxmlformats.org/officeDocument/2006/relationships/hyperlink" Target="https://login.consultant.ru/link/?req=doc&amp;base=LAW&amp;n=451872&amp;date=28.03.2024" TargetMode="External"/><Relationship Id="rId42" Type="http://schemas.openxmlformats.org/officeDocument/2006/relationships/hyperlink" Target="https://login.consultant.ru/link/?req=doc&amp;base=RLAW926&amp;n=258617&amp;date=28.03.2024&amp;dst=100010&amp;field=134" TargetMode="External"/><Relationship Id="rId43" Type="http://schemas.openxmlformats.org/officeDocument/2006/relationships/hyperlink" Target="https://login.consultant.ru/link/?req=doc&amp;base=RLAW926&amp;n=290027&amp;date=28.03.2024&amp;dst=100672&amp;field=134" TargetMode="External"/><Relationship Id="rId44" Type="http://schemas.openxmlformats.org/officeDocument/2006/relationships/hyperlink" Target="https://login.consultant.ru/link/?req=doc&amp;base=RLAW926&amp;n=258617&amp;date=28.03.2024&amp;dst=100012&amp;field=134" TargetMode="External"/><Relationship Id="rId45" Type="http://schemas.openxmlformats.org/officeDocument/2006/relationships/hyperlink" Target="https://login.consultant.ru/link/?req=doc&amp;base=RLAW926&amp;n=296490&amp;date=28.03.2024" TargetMode="External"/><Relationship Id="rId46" Type="http://schemas.openxmlformats.org/officeDocument/2006/relationships/hyperlink" Target="https://login.consultant.ru/link/?req=doc&amp;base=RLAW926&amp;n=258617&amp;date=28.03.2024&amp;dst=100015&amp;field=134" TargetMode="External"/><Relationship Id="rId47" Type="http://schemas.openxmlformats.org/officeDocument/2006/relationships/hyperlink" Target="https://login.consultant.ru/link/?req=doc&amp;base=RLAW926&amp;n=258617&amp;date=28.03.2024&amp;dst=100017&amp;field=134" TargetMode="External"/><Relationship Id="rId48" Type="http://schemas.openxmlformats.org/officeDocument/2006/relationships/hyperlink" Target="https://login.consultant.ru/link/?req=doc&amp;base=RLAW926&amp;n=200822&amp;date=28.03.2024&amp;dst=100010&amp;field=134" TargetMode="External"/><Relationship Id="rId49" Type="http://schemas.openxmlformats.org/officeDocument/2006/relationships/hyperlink" Target="https://login.consultant.ru/link/?req=doc&amp;base=RLAW926&amp;n=258617&amp;date=28.03.2024&amp;dst=100018&amp;field=134" TargetMode="External"/><Relationship Id="rId50" Type="http://schemas.openxmlformats.org/officeDocument/2006/relationships/hyperlink" Target="https://login.consultant.ru/link/?req=doc&amp;base=RLAW926&amp;n=258617&amp;date=28.03.2024&amp;dst=100019&amp;field=134" TargetMode="External"/><Relationship Id="rId51" Type="http://schemas.openxmlformats.org/officeDocument/2006/relationships/hyperlink" Target="https://login.consultant.ru/link/?req=doc&amp;base=RLAW926&amp;n=258617&amp;date=28.03.2024&amp;dst=100021&amp;field=134" TargetMode="External"/><Relationship Id="rId52" Type="http://schemas.openxmlformats.org/officeDocument/2006/relationships/hyperlink" Target="https://login.consultant.ru/link/?req=doc&amp;base=RLAW926&amp;n=280002&amp;date=28.03.2024&amp;dst=100427&amp;field=134" TargetMode="External"/><Relationship Id="rId53" Type="http://schemas.openxmlformats.org/officeDocument/2006/relationships/hyperlink" Target="https://login.consultant.ru/link/?req=doc&amp;base=RLAW926&amp;n=258617&amp;date=28.03.2024&amp;dst=100023&amp;field=134" TargetMode="External"/><Relationship Id="rId54" Type="http://schemas.openxmlformats.org/officeDocument/2006/relationships/hyperlink" Target="https://login.consultant.ru/link/?req=doc&amp;base=LAW&amp;n=464193&amp;date=28.03.2024&amp;dst=355&amp;field=134" TargetMode="External"/><Relationship Id="rId55" Type="http://schemas.openxmlformats.org/officeDocument/2006/relationships/hyperlink" Target="https://login.consultant.ru/link/?req=doc&amp;base=RLAW926&amp;n=258617&amp;date=28.03.2024&amp;dst=100024&amp;field=134" TargetMode="External"/><Relationship Id="rId56" Type="http://schemas.openxmlformats.org/officeDocument/2006/relationships/hyperlink" Target="https://login.consultant.ru/link/?req=doc&amp;base=RLAW926&amp;n=258617&amp;date=28.03.2024&amp;dst=100025&amp;field=134" TargetMode="External"/><Relationship Id="rId57" Type="http://schemas.openxmlformats.org/officeDocument/2006/relationships/hyperlink" Target="https://login.consultant.ru/link/?req=doc&amp;base=RLAW926&amp;n=258617&amp;date=28.03.2024&amp;dst=100027&amp;field=134" TargetMode="External"/><Relationship Id="rId58" Type="http://schemas.openxmlformats.org/officeDocument/2006/relationships/hyperlink" Target="https://login.consultant.ru/link/?req=doc&amp;base=RLAW926&amp;n=258617&amp;date=28.03.2024&amp;dst=100029&amp;field=134" TargetMode="External"/><Relationship Id="rId59" Type="http://schemas.openxmlformats.org/officeDocument/2006/relationships/hyperlink" Target="https://login.consultant.ru/link/?req=doc&amp;base=RLAW926&amp;n=151526&amp;date=28.03.2024&amp;dst=100007&amp;field=134" TargetMode="External"/><Relationship Id="rId60" Type="http://schemas.openxmlformats.org/officeDocument/2006/relationships/hyperlink" Target="https://login.consultant.ru/link/?req=doc&amp;base=RLAW926&amp;n=258617&amp;date=28.03.2024&amp;dst=100030&amp;field=134" TargetMode="External"/><Relationship Id="rId61" Type="http://schemas.openxmlformats.org/officeDocument/2006/relationships/hyperlink" Target="https://login.consultant.ru/link/?req=doc&amp;base=RLAW926&amp;n=258617&amp;date=28.03.2024&amp;dst=100031&amp;field=134" TargetMode="External"/><Relationship Id="rId62" Type="http://schemas.openxmlformats.org/officeDocument/2006/relationships/hyperlink" Target="https://login.consultant.ru/link/?req=doc&amp;base=RLAW926&amp;n=258617&amp;date=28.03.2024&amp;dst=100032&amp;field=134" TargetMode="External"/><Relationship Id="rId63" Type="http://schemas.openxmlformats.org/officeDocument/2006/relationships/hyperlink" Target="https://login.consultant.ru/link/?req=doc&amp;base=RLAW926&amp;n=151526&amp;date=28.03.2024&amp;dst=100007&amp;field=134" TargetMode="External"/><Relationship Id="rId64" Type="http://schemas.openxmlformats.org/officeDocument/2006/relationships/hyperlink" Target="https://login.consultant.ru/link/?req=doc&amp;base=RLAW926&amp;n=258617&amp;date=28.03.2024&amp;dst=100034&amp;field=134" TargetMode="External"/><Relationship Id="rId65" Type="http://schemas.openxmlformats.org/officeDocument/2006/relationships/hyperlink" Target="https://login.consultant.ru/link/?req=doc&amp;base=RLAW926&amp;n=258617&amp;date=28.03.2024&amp;dst=100035&amp;field=134" TargetMode="External"/><Relationship Id="rId66" Type="http://schemas.openxmlformats.org/officeDocument/2006/relationships/hyperlink" Target="https://login.consultant.ru/link/?req=doc&amp;base=RLAW926&amp;n=258617&amp;date=28.03.2024&amp;dst=100036&amp;field=134" TargetMode="External"/><Relationship Id="rId67" Type="http://schemas.openxmlformats.org/officeDocument/2006/relationships/hyperlink" Target="https://login.consultant.ru/link/?req=doc&amp;base=RLAW926&amp;n=234288&amp;date=28.03.2024&amp;dst=100009&amp;field=134" TargetMode="External"/><Relationship Id="rId68" Type="http://schemas.openxmlformats.org/officeDocument/2006/relationships/hyperlink" Target="https://login.consultant.ru/link/?req=doc&amp;base=RLAW926&amp;n=247052&amp;date=28.03.2024&amp;dst=100005&amp;field=134" TargetMode="External"/><Relationship Id="rId69" Type="http://schemas.openxmlformats.org/officeDocument/2006/relationships/hyperlink" Target="https://login.consultant.ru/link/?req=doc&amp;base=RLAW926&amp;n=258617&amp;date=28.03.2024&amp;dst=100037&amp;field=134" TargetMode="External"/><Relationship Id="rId70" Type="http://schemas.openxmlformats.org/officeDocument/2006/relationships/hyperlink" Target="https://login.consultant.ru/link/?req=doc&amp;base=RLAW926&amp;n=283734&amp;date=28.03.2024&amp;dst=100005&amp;field=134" TargetMode="External"/><Relationship Id="rId71" Type="http://schemas.openxmlformats.org/officeDocument/2006/relationships/hyperlink" Target="https://login.consultant.ru/link/?req=doc&amp;base=LAW&amp;n=451872&amp;date=28.03.2024" TargetMode="External"/><Relationship Id="rId72" Type="http://schemas.openxmlformats.org/officeDocument/2006/relationships/hyperlink" Target="https://login.consultant.ru/link/?req=doc&amp;base=RLAW926&amp;n=288335&amp;date=28.03.2024" TargetMode="External"/><Relationship Id="rId73" Type="http://schemas.openxmlformats.org/officeDocument/2006/relationships/hyperlink" Target="https://login.consultant.ru/link/?req=doc&amp;base=RLAW926&amp;n=247052&amp;date=28.03.2024&amp;dst=100006&amp;field=134" TargetMode="External"/><Relationship Id="rId74" Type="http://schemas.openxmlformats.org/officeDocument/2006/relationships/hyperlink" Target="https://login.consultant.ru/link/?req=doc&amp;base=LAW&amp;n=411620&amp;date=28.03.2024&amp;dst=100009&amp;field=134" TargetMode="External"/><Relationship Id="rId75" Type="http://schemas.openxmlformats.org/officeDocument/2006/relationships/hyperlink" Target="https://login.consultant.ru/link/?req=doc&amp;base=RLAW926&amp;n=258617&amp;date=28.03.2024&amp;dst=100038&amp;field=134" TargetMode="External"/><Relationship Id="rId76" Type="http://schemas.openxmlformats.org/officeDocument/2006/relationships/hyperlink" Target="https://login.consultant.ru/link/?req=doc&amp;base=RLAW926&amp;n=258617&amp;date=28.03.2024&amp;dst=100040&amp;field=134" TargetMode="External"/><Relationship Id="rId77" Type="http://schemas.openxmlformats.org/officeDocument/2006/relationships/hyperlink" Target="https://login.consultant.ru/link/?req=doc&amp;base=RLAW926&amp;n=283734&amp;date=28.03.2024&amp;dst=100007&amp;field=134" TargetMode="External"/><Relationship Id="rId78" Type="http://schemas.openxmlformats.org/officeDocument/2006/relationships/hyperlink" Target="https://login.consultant.ru/link/?req=doc&amp;base=RLAW926&amp;n=283734&amp;date=28.03.2024&amp;dst=100009&amp;field=134" TargetMode="External"/><Relationship Id="rId79" Type="http://schemas.openxmlformats.org/officeDocument/2006/relationships/hyperlink" Target="https://login.consultant.ru/link/?req=doc&amp;base=RLAW926&amp;n=283734&amp;date=28.03.2024&amp;dst=100011&amp;field=134" TargetMode="External"/><Relationship Id="rId80" Type="http://schemas.openxmlformats.org/officeDocument/2006/relationships/hyperlink" Target="https://login.consultant.ru/link/?req=doc&amp;base=RLAW926&amp;n=283734&amp;date=28.03.2024&amp;dst=100012&amp;field=134" TargetMode="External"/><Relationship Id="rId81" Type="http://schemas.openxmlformats.org/officeDocument/2006/relationships/hyperlink" Target="https://login.consultant.ru/link/?req=doc&amp;base=RLAW926&amp;n=283734&amp;date=28.03.2024&amp;dst=100013&amp;field=134" TargetMode="External"/><Relationship Id="rId82" Type="http://schemas.openxmlformats.org/officeDocument/2006/relationships/hyperlink" Target="https://login.consultant.ru/link/?req=doc&amp;base=LAW&amp;n=469771&amp;date=28.03.2024&amp;dst=100921&amp;field=134" TargetMode="External"/><Relationship Id="rId83" Type="http://schemas.openxmlformats.org/officeDocument/2006/relationships/hyperlink" Target="https://login.consultant.ru/link/?req=doc&amp;base=RLAW926&amp;n=283734&amp;date=28.03.2024&amp;dst=100014&amp;field=134" TargetMode="External"/><Relationship Id="rId84" Type="http://schemas.openxmlformats.org/officeDocument/2006/relationships/hyperlink" Target="https://login.consultant.ru/link/?req=doc&amp;base=RLAW926&amp;n=283734&amp;date=28.03.2024&amp;dst=100015&amp;field=134" TargetMode="External"/><Relationship Id="rId85" Type="http://schemas.openxmlformats.org/officeDocument/2006/relationships/hyperlink" Target="https://login.consultant.ru/link/?req=doc&amp;base=RLAW926&amp;n=283734&amp;date=28.03.2024&amp;dst=100016&amp;field=134" TargetMode="External"/><Relationship Id="rId86" Type="http://schemas.openxmlformats.org/officeDocument/2006/relationships/hyperlink" Target="https://login.consultant.ru/link/?req=doc&amp;base=RLAW926&amp;n=283734&amp;date=28.03.2024&amp;dst=100017&amp;field=134" TargetMode="External"/><Relationship Id="rId87" Type="http://schemas.openxmlformats.org/officeDocument/2006/relationships/hyperlink" Target="https://login.consultant.ru/link/?req=doc&amp;base=RLAW926&amp;n=283734&amp;date=28.03.2024&amp;dst=100018&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25.12.2015 N 491-п(ред. от 20.07.2023)&amp;amp;quot;Об утверждении порядка создания условий труда в соответствии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 обучения инвалидов новым профессиям, порядка резервирования рабочих мест по профессиям, наиболее подходящим для трудоустройства инвалидов, порядка установления в организациях независимо от организационно-правовы</dc:title>
  <dc:creator/>
  <cp:lastModifiedBy/>
</cp:coreProperties>
</file>