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Бланк органа Госстройнадзора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44"/>
        <w:contextualSpacing/>
        <w:jc w:val="center"/>
        <w:spacing w:after="0" w:line="240" w:lineRule="auto"/>
        <w:rPr>
          <w:rFonts w:ascii="Liberation Sans" w:hAnsi="Liberation Sans" w:cs="Liberation Sans"/>
          <w:b/>
          <w:bCs/>
          <w:color w:val="0000ff"/>
          <w:sz w:val="31"/>
          <w:szCs w:val="31"/>
          <w:highlight w:val="none"/>
        </w:rPr>
      </w:pPr>
      <w:r>
        <w:rPr>
          <w:rFonts w:ascii="Liberation Sans" w:hAnsi="Liberation Sans" w:cs="Liberation Sans"/>
          <w:b/>
          <w:color w:val="0000ff"/>
          <w:sz w:val="31"/>
          <w:szCs w:val="31"/>
          <w:highlight w:val="none"/>
        </w:rPr>
      </w:r>
      <w:r>
        <w:rPr>
          <w:rFonts w:ascii="Liberation Sans" w:hAnsi="Liberation Sans" w:cs="Liberation Sans"/>
          <w:b/>
          <w:bCs/>
          <w:color w:val="0000ff"/>
          <w:sz w:val="31"/>
          <w:szCs w:val="31"/>
          <w:highlight w:val="none"/>
        </w:rPr>
      </w:r>
      <w:r>
        <w:rPr>
          <w:rFonts w:ascii="Liberation Sans" w:hAnsi="Liberation Sans" w:cs="Liberation Sans"/>
          <w:b/>
          <w:bCs/>
          <w:color w:val="0000ff"/>
          <w:sz w:val="31"/>
          <w:szCs w:val="31"/>
          <w:highlight w:val="none"/>
        </w:rPr>
      </w:r>
    </w:p>
    <w:p>
      <w:pPr>
        <w:pStyle w:val="944"/>
        <w:contextualSpacing/>
        <w:ind w:right="-1"/>
        <w:jc w:val="center"/>
        <w:spacing w:after="0" w:line="240" w:lineRule="auto"/>
        <w:rPr>
          <w:rFonts w:ascii="Liberation Sans" w:hAnsi="Liberation Sans" w:cs="Liberation Sans"/>
          <w:b/>
          <w:color w:val="ff0000"/>
          <w:sz w:val="44"/>
          <w:szCs w:val="44"/>
        </w:rPr>
      </w:pPr>
      <w:r>
        <w:rPr>
          <w:rFonts w:ascii="Liberation Sans" w:hAnsi="Liberation Sans" w:cs="Liberation Sans"/>
          <w:b/>
          <w:color w:val="ff0000"/>
          <w:sz w:val="44"/>
          <w:szCs w:val="44"/>
          <w:lang w:val="en-US"/>
        </w:rPr>
        <w:t xml:space="preserve">ПРИКАЗ</w:t>
      </w:r>
      <w:r>
        <w:rPr>
          <w:rFonts w:ascii="Liberation Sans" w:hAnsi="Liberation Sans" w:cs="Liberation Sans"/>
          <w:b/>
          <w:color w:val="ff0000"/>
          <w:sz w:val="44"/>
          <w:szCs w:val="44"/>
        </w:rPr>
      </w:r>
      <w:r>
        <w:rPr>
          <w:rFonts w:ascii="Liberation Sans" w:hAnsi="Liberation Sans" w:cs="Liberation Sans"/>
          <w:b/>
          <w:color w:val="ff0000"/>
          <w:sz w:val="44"/>
          <w:szCs w:val="44"/>
        </w:rPr>
      </w:r>
    </w:p>
    <w:p>
      <w:pPr>
        <w:pStyle w:val="944"/>
        <w:contextualSpacing/>
        <w:jc w:val="center"/>
        <w:spacing w:after="0" w:line="240" w:lineRule="auto"/>
        <w:rPr>
          <w:rFonts w:ascii="Liberation Sans" w:hAnsi="Liberation Sans" w:cs="Liberation Sans"/>
          <w:b/>
          <w:sz w:val="44"/>
          <w:szCs w:val="44"/>
        </w:rPr>
      </w:pPr>
      <w:r>
        <w:rPr>
          <w:rFonts w:ascii="Liberation Sans" w:hAnsi="Liberation Sans" w:cs="Liberation Sans"/>
          <w:b/>
          <w:sz w:val="44"/>
          <w:szCs w:val="44"/>
        </w:rPr>
      </w:r>
      <w:r>
        <w:rPr>
          <w:rFonts w:ascii="Liberation Sans" w:hAnsi="Liberation Sans" w:cs="Liberation Sans"/>
          <w:b/>
          <w:sz w:val="44"/>
          <w:szCs w:val="44"/>
        </w:rPr>
      </w:r>
      <w:r>
        <w:rPr>
          <w:rFonts w:ascii="Liberation Sans" w:hAnsi="Liberation Sans" w:cs="Liberation Sans"/>
          <w:b/>
          <w:sz w:val="44"/>
          <w:szCs w:val="44"/>
        </w:rPr>
      </w:r>
    </w:p>
    <w:p>
      <w:pPr>
        <w:pStyle w:val="944"/>
        <w:contextualSpacing/>
        <w:jc w:val="center"/>
        <w:spacing w:before="120" w:after="0" w:line="240" w:lineRule="auto"/>
        <w:rPr>
          <w:rFonts w:ascii="Liberation Sans" w:hAnsi="Liberation Sans" w:cs="Liberation Sans"/>
          <w:b/>
          <w:bCs/>
          <w:color w:val="548dd4"/>
          <w:sz w:val="24"/>
          <w:szCs w:val="24"/>
        </w:rPr>
      </w:pPr>
      <w:r>
        <w:rPr>
          <w:rFonts w:ascii="Liberation Sans" w:hAnsi="Liberation Sans" w:cs="Liberation Sans"/>
          <w:b/>
          <w:color w:val="0000ff"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color w:val="548dd4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548dd4"/>
          <w:sz w:val="24"/>
          <w:szCs w:val="24"/>
        </w:rPr>
      </w:r>
    </w:p>
    <w:p>
      <w:pPr>
        <w:pStyle w:val="944"/>
        <w:contextualSpacing/>
        <w:jc w:val="center"/>
        <w:spacing w:before="120" w:after="0" w:line="240" w:lineRule="auto"/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color w:val="0000ff"/>
          <w:sz w:val="24"/>
          <w:szCs w:val="24"/>
        </w:rPr>
        <w:t xml:space="preserve">г. __________</w:t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</w:rPr>
      </w:r>
    </w:p>
    <w:p>
      <w:pPr>
        <w:pStyle w:val="944"/>
        <w:contextualSpacing/>
        <w:jc w:val="center"/>
        <w:spacing w:after="0" w:line="240" w:lineRule="auto"/>
        <w:rPr>
          <w:rFonts w:ascii="Liberation Sans" w:hAnsi="Liberation Sans" w:cs="Liberation Sans"/>
          <w:b/>
          <w:bCs/>
          <w:color w:val="548dd4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548dd4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548dd4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548dd4"/>
          <w:sz w:val="24"/>
          <w:szCs w:val="24"/>
        </w:rPr>
      </w:r>
    </w:p>
    <w:p>
      <w:pPr>
        <w:pStyle w:val="944"/>
        <w:contextualSpacing/>
        <w:jc w:val="center"/>
        <w:spacing w:after="0" w:line="240" w:lineRule="auto"/>
        <w:rPr>
          <w:rFonts w:ascii="Liberation Sans" w:hAnsi="Liberation Sans" w:cs="Liberation Sans"/>
          <w:b/>
          <w:color w:val="548dd4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color w:val="548dd4"/>
          <w:sz w:val="24"/>
          <w:szCs w:val="24"/>
        </w:rPr>
      </w:r>
      <w:r>
        <w:rPr>
          <w:rFonts w:ascii="Liberation Sans" w:hAnsi="Liberation Sans" w:cs="Liberation Sans"/>
          <w:b/>
          <w:color w:val="548dd4"/>
          <w:sz w:val="24"/>
          <w:szCs w:val="24"/>
        </w:rPr>
      </w:r>
      <w:r>
        <w:rPr>
          <w:rFonts w:ascii="Liberation Sans" w:hAnsi="Liberation Sans" w:cs="Liberation Sans"/>
          <w:b/>
          <w:color w:val="548dd4"/>
          <w:sz w:val="24"/>
          <w:szCs w:val="24"/>
        </w:rPr>
      </w:r>
    </w:p>
    <w:p>
      <w:pPr>
        <w:pStyle w:val="785"/>
        <w:ind w:left="0" w:right="0" w:firstLine="0"/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lang w:val="en-US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Об утверждении 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Методики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785"/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оценки уровня цифровизации строительных площадок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785"/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объектов капитального строительства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(Региональный стандарт цифровой стройки)</w:t>
      </w:r>
      <w:r>
        <w:rPr>
          <w:rFonts w:ascii="Liberation Sans" w:hAnsi="Liberation Sans" w:cs="Liberation Sans"/>
          <w:b/>
          <w:sz w:val="24"/>
          <w:szCs w:val="24"/>
          <w:highlight w:val="white"/>
        </w:rPr>
        <w:br/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rPr>
          <w:rFonts w:ascii="Liberation Sans" w:hAnsi="Liberation Sans" w:cs="Liberation Sans"/>
          <w:b w:val="0"/>
          <w:bCs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</w:p>
    <w:p>
      <w:pPr>
        <w:pStyle w:val="785"/>
        <w:ind w:left="0" w:right="0" w:firstLine="567"/>
        <w:jc w:val="both"/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В целях реализации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«Стратегии развития строительной отрасли и жилищно-коммунального хозяйства Российской Федерации на период до 2030 года с прогнозом до 2035 года»,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утвержденной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распоряжением Правительства Российской Федерации от 31 октября 2022 года № 3268-р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white"/>
        </w:rPr>
        <w:t xml:space="preserve"> р и 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white"/>
        </w:rPr>
        <w:t xml:space="preserve"> а з ы в а ю: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785"/>
        <w:ind w:left="0" w:right="0" w:firstLine="567"/>
        <w:jc w:val="both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784"/>
        <w:numPr>
          <w:ilvl w:val="0"/>
          <w:numId w:val="8"/>
        </w:numPr>
        <w:ind w:left="0" w:right="0" w:firstLine="567"/>
        <w:jc w:val="both"/>
        <w:tabs>
          <w:tab w:val="left" w:pos="980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Утвердить прилагаемую Методику оценки уровня цифровизации строительных площадок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объектов капитального строительства, в отношении которых осуществляется региональный государственный строительный надзор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(Региональный стандарт цифровой стройки)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784"/>
        <w:numPr>
          <w:ilvl w:val="0"/>
          <w:numId w:val="8"/>
        </w:numPr>
        <w:ind w:left="0" w:right="0" w:firstLine="567"/>
        <w:jc w:val="both"/>
        <w:tabs>
          <w:tab w:val="left" w:pos="980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Рекомендовать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Методику оценки уровня цифровизации строительных площадок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объектов капитального строительства, в отношении которых осуществляется региональный государственный строительный надзор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(Региональный стандарт цифровой стройки)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для практического применения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</w:rPr>
        <w:t xml:space="preserve">подведомственным организациям департамента строительства и жилищной политики Ямало-Ненецкого автономного округа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784"/>
        <w:numPr>
          <w:ilvl w:val="0"/>
          <w:numId w:val="8"/>
        </w:numPr>
        <w:ind w:left="0" w:right="0" w:firstLine="567"/>
        <w:jc w:val="both"/>
        <w:tabs>
          <w:tab w:val="left" w:pos="980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Контроль за исполнением настоящего приказа возложить на з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</w:rPr>
        <w:t xml:space="preserve">аместителя руководителя службы – начальника управления организации государственного строительного надзора службы государственного строительного надзора Ямало-Ненецкого автономного округа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</w:rPr>
        <w:t xml:space="preserve"> и заместителя директора департамента строительства и жилищной политики Ямало-Ненецкого автономного округа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567" w:right="0" w:firstLine="0"/>
        <w:jc w:val="both"/>
        <w:tabs>
          <w:tab w:val="left" w:pos="980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567" w:right="0" w:firstLine="0"/>
        <w:jc w:val="both"/>
        <w:tabs>
          <w:tab w:val="left" w:pos="980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567" w:right="0" w:firstLine="0"/>
        <w:jc w:val="both"/>
        <w:tabs>
          <w:tab w:val="left" w:pos="980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709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Руководитель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0" w:firstLine="709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органа Госстройнадзора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            ____________            ____________________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0" w:firstLine="709"/>
        <w:jc w:val="left"/>
        <w:rPr>
          <w:rFonts w:ascii="Liberation Sans" w:hAnsi="Liberation Sans" w:cs="Liberation Sans"/>
          <w:sz w:val="16"/>
          <w:szCs w:val="16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ab/>
        <w:tab/>
        <w:tab/>
        <w:tab/>
        <w:tab/>
        <w:t xml:space="preserve">       </w:t>
      </w:r>
      <w:r>
        <w:rPr>
          <w:rFonts w:ascii="Liberation Sans" w:hAnsi="Liberation Sans" w:cs="Liberation Sans"/>
          <w:sz w:val="16"/>
          <w:szCs w:val="16"/>
          <w:highlight w:val="none"/>
        </w:rPr>
        <w:t xml:space="preserve">(Подпись)</w:t>
        <w:tab/>
        <w:tab/>
        <w:tab/>
        <w:t xml:space="preserve">         (Инициалы, фамилия)</w:t>
      </w:r>
      <w:r>
        <w:rPr>
          <w:rFonts w:ascii="Liberation Sans" w:hAnsi="Liberation Sans" w:cs="Liberation Sans"/>
          <w:sz w:val="16"/>
          <w:szCs w:val="16"/>
          <w:highlight w:val="none"/>
        </w:rPr>
      </w:r>
      <w:r>
        <w:rPr>
          <w:rFonts w:ascii="Liberation Sans" w:hAnsi="Liberation Sans" w:cs="Liberation Sans"/>
          <w:sz w:val="16"/>
          <w:szCs w:val="16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567" w:right="0" w:firstLine="0"/>
        <w:jc w:val="both"/>
        <w:tabs>
          <w:tab w:val="left" w:pos="980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firstLine="708"/>
        <w:jc w:val="both"/>
        <w:tabs>
          <w:tab w:val="left" w:pos="980" w:leader="none"/>
        </w:tabs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4819" w:right="0" w:firstLine="3"/>
        <w:jc w:val="left"/>
        <w:pageBreakBefore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УТВЕРЖДЕНА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П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риказом </w:t>
      </w:r>
      <w:r>
        <w:rPr>
          <w:rFonts w:ascii="Liberation Sans" w:hAnsi="Liberation Sans" w:cs="Liberation Sans"/>
          <w:sz w:val="24"/>
          <w:szCs w:val="24"/>
        </w:rPr>
        <w:t xml:space="preserve">органа Госстройнадзора</w:t>
      </w:r>
      <w:r/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785"/>
        <w:jc w:val="center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785"/>
        <w:jc w:val="center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785"/>
        <w:jc w:val="center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Методика 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pStyle w:val="785"/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оценки уровня цифровизации строительных площадок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785"/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объектов капитального строительства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785"/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(Региональный стандарт цифровой стройки)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785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785"/>
        <w:ind w:left="0" w:right="0" w:firstLine="0"/>
        <w:jc w:val="center"/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1. Область применения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r>
    </w:p>
    <w:p>
      <w:pPr>
        <w:pStyle w:val="785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785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Настоящая Методика оценки уровня цифровизации строительных площадок объектов капитального строительства (Региональный стандарт цифровой стройки) распространяется на строящиеся (реконструируемые) объекты капита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льного строительства, расположенные на территории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</w:rPr>
        <w:t xml:space="preserve">Ямало-Ненецкого автономного округа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</w:rPr>
        <w:t xml:space="preserve">(далее – автономный округ)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устанавливает уровни цифровизации строительных площадок объектов капитального строительства и номенклатуру показателей, соответствующих каждому уровню.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785"/>
        <w:jc w:val="center"/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sz w:val="24"/>
          <w:szCs w:val="24"/>
        </w:rPr>
        <w:br/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2. Термины и определения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785"/>
        <w:jc w:val="center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pStyle w:val="785"/>
        <w:ind w:left="0" w:right="0" w:firstLine="567"/>
        <w:jc w:val="both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white"/>
        </w:rPr>
        <w:t xml:space="preserve">идеоаналитика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: Технология, использующая методы компьютерного зрения для автоматизированного получения данных на основании анализа изображений или последовательностей изображений (видеопотоков).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785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none"/>
        </w:rPr>
        <w:t xml:space="preserve">И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white"/>
        </w:rPr>
        <w:t xml:space="preserve">нформационная модель объекта строительства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: Совокупность представленных в электронном виде документов, графических и неграфических данных по объекту строительства, размещаемая в соответствии с установленными правилами в среде общих данных, представляющая собой еди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ный достоверный источник информации по объекту на всех или отдельных стадиях его жизненного цикла.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785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  <w:t xml:space="preserve">Искусственный интеллект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: Комплекс технологических решений, позволяющий имитировать когнитивные функции человека (включая самообучение, поиск решений без заранее заданного алгоритма и достижение инсайта) и получать при выполнении конкретных практически з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начимых задач обработки данных результаты, сопоставимые, как минимум, с результатами интеллектуальной деятельности человека.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Комплекс технологических решений включает в себя информационно-коммуникационную инфраструктуру, программное обеспечение (в том числе, в котором используются методы машинного обучения), процессы и сервисы по обработке данных, анализу и синтезу решений.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785"/>
        <w:ind w:left="0" w:right="0" w:firstLine="567"/>
        <w:jc w:val="both"/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none"/>
        </w:rPr>
        <w:t xml:space="preserve">С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white"/>
        </w:rPr>
        <w:t xml:space="preserve">истема искусственного интеллекта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: Техническая система, в которой используются технологии искусственного интеллекта и обладающая искусственным интеллектом.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r>
    </w:p>
    <w:p>
      <w:pPr>
        <w:pStyle w:val="785"/>
        <w:ind w:left="0" w:right="0" w:firstLine="567"/>
        <w:jc w:val="both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none"/>
        </w:rPr>
        <w:t xml:space="preserve">С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white"/>
        </w:rPr>
        <w:t xml:space="preserve">истема видеонаблюдения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: Совокупность функционирующих видеоканалов, программных и технических средств записи и хранения видеоданных, а также программных и/или технических средств управления, осуществляющих информационный обмен между собой.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785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  <w:t xml:space="preserve">Уровень цифровизации строительной площадки: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Характеристика строительной площадки объекта капитального строительства, определяемая в соответствии с установленными показателями цифровизации процессов строительства объекта капитального строительства.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785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none"/>
        </w:rPr>
        <w:t xml:space="preserve">Ц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white"/>
        </w:rPr>
        <w:t xml:space="preserve">ифровой двойник объекта капитального строительства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:  Синхронизированная цифровая копия объекта капитального строительства, представляющая собой виртуальную модель, воспроизводящую форму оригинального объекта и все характерные для такого оригинала процессы, что позволяет однозначно идентифицировать все ис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торические изменения, выполненные для объекта-оригинала, а также прогнозировать жизненный цикл копируемого объекта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785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785"/>
        <w:jc w:val="center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3. 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О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бщие положения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pStyle w:val="785"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785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Цифровизация в строительстве является инструментом достижения стратегических целей и региональных задач. Целевым ориентиром мероприятий цифрового развития строительной отрасли автономного округа являются формирование и развитие цифровой системы упра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вления жизненным циклом объектов капитального строительства.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785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Настоящий стандарт является основополагающим для системы региональных нормативных правовых докумен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тов в области развития цифровизации регионального государственного строительного надзора и строительного контроля, и должен служить основой для разработки других нормативных и (или) технических документов в соответствии с областью стандартизации «цифровая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строительная отрасль региона».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785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результате перехода на цифровые технологии проектирования, строительства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и управления производственными процессами, внедрения цифровых решений, обеспечения цифрового взаимодействия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</w:rPr>
        <w:t xml:space="preserve">службы государственного строительного надзора автономного округа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с застройщиками, техническими заказчиками и лицами, осуществляющими строительство,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повышаются качество управленческих решений,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доступность,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прозрачность мероприятий 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действий в рамках регионального надзора, строительного контроля за выполняемыми строительно-монтажными и пуско-наладочными работами, что приводит к повышению качества их выполнения, обеспечению надежности и безопасности объектов капитального строительства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785"/>
        <w:ind w:left="0" w:right="0" w:firstLine="567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Целями стандарта являются: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</w:r>
    </w:p>
    <w:p>
      <w:pPr>
        <w:pStyle w:val="785"/>
        <w:ind w:left="0" w:right="0" w:firstLine="567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  <w:t xml:space="preserve">- установление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системного и единообразного подхода к определению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  <w:t xml:space="preserve">уровня цифрового развития строительных площадок объектов капитального строительства, расположенных на территории автономного округа и на его основе уровня цифрового развития строительной отрасли региона;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0" w:right="0" w:firstLine="567"/>
        <w:jc w:val="both"/>
        <w:shd w:val="clear" w:color="ffffff" w:fill="ffffff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содействие формированию и развитию конкуренции среди строительных компаний, осуществляющих свою деятельность в автономном округе, в части цифровизации при организации строительных процессов;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785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- реализация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озможности рейтингования деятельности строительных компаний на основе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номенклатуры показателей, соответствующих каждому уровню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  <w:t xml:space="preserve">цифрового развития строительных площадок объектов капитального строительства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-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развитие цифровизации регионального государственного строительного надзора и строительного контроля.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785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Принципами внедрения стандарта являются: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785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клиентоцентричность - созда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ние и развитие условий для эффективного взаимодействия органа регионального государственного строительного надзора и контролируемых лиц с применением современных цифровых инструментов и искусственного интеллекта, ориентированных на всесторонний анализ и уч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ет организации строительных процессов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строительных компаний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при реализации проектов;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</w:p>
    <w:p>
      <w:pPr>
        <w:pStyle w:val="785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сист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емный подход - совершенствование деятельности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</w:rPr>
        <w:t xml:space="preserve">службы государственного строительного надзора автономного округа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и службы строительного контроля организаций, трансформация и модернизация строительных компаний в части цифрового развития строительных процессов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785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прозрачность деятельности - соде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йствие органа регионального государственного строительного надзора автономного округа в обеспечении открытости и доступности для участников строительства (застройщики, технические заказчики, лица, осуществляющие строительство) информации о мероприятиях по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содействию развитию конкуренции и решениях, оказывающих воздействие на конкуренцию в зависимости от уровня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  <w:t xml:space="preserve">цифрового развития строительных площадок объектов капитального строительства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785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785"/>
        <w:jc w:val="center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4. Уровни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цифровизации строительных площадок объектов капитального строительства </w:t>
      </w:r>
      <w:r>
        <w:rPr>
          <w:rFonts w:ascii="Liberation Sans" w:hAnsi="Liberation Sans" w:eastAsia="Liberation Sans" w:cs="Liberation Sans"/>
          <w:sz w:val="24"/>
          <w:szCs w:val="24"/>
        </w:rPr>
        <w:br/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785"/>
        <w:ind w:left="0" w:right="0" w:firstLine="567"/>
        <w:jc w:val="both"/>
        <w:rPr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Настоящий  стандарт  устанавливает следующие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уровни цифровизации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строительных площадок объектов капитального строительства: 1 уровень (базовый), 2 уровень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(стандартный)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, 3 уровень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(продвинутый)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785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Каждый уровень показывает степень цифрового развития строительной компании, что в свою очередь характеризует ее возможности по надежной и качественной реализации строительных проектов.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785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Уровневая система оценки цифрового развития строительных компаний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является основой для формирования единой цифровой среды, позволяющей обеспечить создание регионального ресурса информации об объектах кап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итального строительства на всем протяжении жизненного цикла.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785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Номенклатура показателей, соответствующих каждому уровню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цифровизации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строительных площадок объектов капитального строительства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, приведена в таблице 1.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785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785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Таблица 1 -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Номенклатура показателей, соответствующих каждому уровню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цифровизации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строительных площадок объектов капитального строительства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785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tbl>
      <w:tblPr>
        <w:tblStyle w:val="800"/>
        <w:tblW w:w="0" w:type="auto"/>
        <w:tblLayout w:type="fixed"/>
        <w:tblLook w:val="04A0" w:firstRow="1" w:lastRow="0" w:firstColumn="1" w:lastColumn="0" w:noHBand="0" w:noVBand="1"/>
      </w:tblPr>
      <w:tblGrid>
        <w:gridCol w:w="3509"/>
        <w:gridCol w:w="6236"/>
      </w:tblGrid>
      <w:tr>
        <w:tblPrEx/>
        <w:trPr/>
        <w:tc>
          <w:tcPr>
            <w:tcW w:w="3509" w:type="dxa"/>
            <w:vMerge w:val="restart"/>
            <w:textDirection w:val="lrTb"/>
            <w:noWrap w:val="false"/>
          </w:tcPr>
          <w:p>
            <w:pPr>
              <w:pStyle w:val="785"/>
              <w:jc w:val="center"/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Уровень цифровизации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6236" w:type="dxa"/>
            <w:vMerge w:val="restart"/>
            <w:textDirection w:val="lrTb"/>
            <w:noWrap w:val="false"/>
          </w:tcPr>
          <w:p>
            <w:pPr>
              <w:pStyle w:val="785"/>
              <w:jc w:val="center"/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Показатели уровня цифровизации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509" w:type="dxa"/>
            <w:vMerge w:val="restart"/>
            <w:textDirection w:val="lrTb"/>
            <w:noWrap w:val="false"/>
          </w:tcPr>
          <w:p>
            <w:pPr>
              <w:pStyle w:val="785"/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1 уровень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85"/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(базовый)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85"/>
              <w:jc w:val="both"/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785"/>
              <w:jc w:val="both"/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нформационная модель объекта строительства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30"/>
        </w:trPr>
        <w:tc>
          <w:tcPr>
            <w:tcW w:w="35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236" w:type="dxa"/>
            <w:vMerge w:val="restart"/>
            <w:textDirection w:val="lrTb"/>
            <w:noWrap w:val="false"/>
          </w:tcPr>
          <w:p>
            <w:pPr>
              <w:pStyle w:val="785"/>
              <w:jc w:val="both"/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Электронный документооборот между органом регионального государственного строительного надзора и контролируемыми лицами через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  <w:t xml:space="preserve">Государственную информационную систему «Типовое облачное решение по автоматизации контрольной (надзорной) деятельности» (далее – ГИС ТОР КНД) или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Федеральную государственную информационную систему «Единая система предоставления государственных и муниципальных услуг (сервисов)»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ФГИС ПГС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  <w:t xml:space="preserve">ил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  <w:t xml:space="preserve">и личный кабинет Единого портала государственных услуг (далее – ЕПГУ)</w:t>
            </w:r>
            <w:r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5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236" w:type="dxa"/>
            <w:vMerge w:val="restart"/>
            <w:textDirection w:val="lrTb"/>
            <w:noWrap w:val="false"/>
          </w:tcPr>
          <w:p>
            <w:pPr>
              <w:pStyle w:val="785"/>
              <w:jc w:val="both"/>
              <w:rPr>
                <w:rFonts w:ascii="Liberation Sans" w:hAnsi="Liberation Sans" w:cs="Liberation Sans"/>
                <w:b w:val="0"/>
                <w:bCs w:val="0"/>
                <w:i/>
                <w:i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Информационное взаимодействие в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/>
                <w:iCs/>
                <w:color w:val="000000" w:themeColor="text1"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 w:themeColor="text1"/>
                <w:sz w:val="24"/>
                <w:szCs w:val="24"/>
                <w:highlight w:val="white"/>
              </w:rPr>
              <w:t xml:space="preserve">осударственной информационной системе «Управление и автоматизации отраслевой деятельности Ямало-Ненецкого автономного округа» (далее - ГИС УиАОД ЯНАО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 w:themeColor="text1"/>
                <w:sz w:val="24"/>
                <w:szCs w:val="24"/>
                <w:highlight w:val="none"/>
              </w:rPr>
              <w:t xml:space="preserve">) </w:t>
            </w:r>
            <w:r>
              <w:rPr>
                <w:rFonts w:ascii="Liberation Sans" w:hAnsi="Liberation Sans" w:cs="Liberation Sans"/>
                <w:b w:val="0"/>
                <w:bCs w:val="0"/>
                <w:i/>
                <w:i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/>
                <w:i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509" w:type="dxa"/>
            <w:vMerge w:val="restart"/>
            <w:textDirection w:val="lrTb"/>
            <w:noWrap w:val="false"/>
          </w:tcPr>
          <w:p>
            <w:pPr>
              <w:pStyle w:val="785"/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2 уровень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85"/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(стандартный)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85"/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85"/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85"/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85"/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85"/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785"/>
              <w:jc w:val="both"/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нформационная модель объекта строительства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5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785"/>
              <w:jc w:val="both"/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Электронный документооборот между органом регионального государственного строительного надзора и контролируемыми лицами через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  <w:t xml:space="preserve">ГИС ТОР КНД или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ФГИС ПГС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  <w:t xml:space="preserve"> или личный кабинет ЕПГУ</w:t>
            </w:r>
            <w:r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5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785"/>
              <w:jc w:val="both"/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Информационное взаимодействие в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ГИС УиАОД ЯНАО</w:t>
            </w:r>
            <w:r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5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785"/>
              <w:jc w:val="both"/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Ведение исполнительной документации в электронном виде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5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785"/>
              <w:jc w:val="both"/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истема видеонаблюдения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строительной площадки (Face ID, БПЛА), видеоаналитика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5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785"/>
              <w:jc w:val="both"/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Применение системы искусственного интеллекта для анализа показателей, характеризующих процесс строительства, в том числе контроль соблюдения графика производства работ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509" w:type="dxa"/>
            <w:vMerge w:val="restart"/>
            <w:textDirection w:val="lrTb"/>
            <w:noWrap w:val="false"/>
          </w:tcPr>
          <w:p>
            <w:pPr>
              <w:pStyle w:val="785"/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 3 уровень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85"/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(продвинутый)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85"/>
              <w:jc w:val="both"/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785"/>
              <w:jc w:val="both"/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нформационная модель объекта строительства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5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236" w:type="dxa"/>
            <w:vMerge w:val="restart"/>
            <w:textDirection w:val="lrTb"/>
            <w:noWrap w:val="false"/>
          </w:tcPr>
          <w:p>
            <w:pPr>
              <w:pStyle w:val="785"/>
              <w:jc w:val="both"/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Электронный документооборот между органом регионального государственного строительного надзора и контролируемыми лицами через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  <w:t xml:space="preserve">ГИС ТОР КНД или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ФГИС ПГС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  <w:t xml:space="preserve"> или личный кабинет ЕПГУ</w:t>
            </w:r>
            <w:r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5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236" w:type="dxa"/>
            <w:vMerge w:val="restart"/>
            <w:textDirection w:val="lrTb"/>
            <w:noWrap w:val="false"/>
          </w:tcPr>
          <w:p>
            <w:pPr>
              <w:pStyle w:val="785"/>
              <w:jc w:val="both"/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Информационное взаимодействие в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ГИС УиАОД ЯНАО</w:t>
            </w:r>
            <w:r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5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236" w:type="dxa"/>
            <w:vMerge w:val="restart"/>
            <w:textDirection w:val="lrTb"/>
            <w:noWrap w:val="false"/>
          </w:tcPr>
          <w:p>
            <w:pPr>
              <w:pStyle w:val="785"/>
              <w:jc w:val="both"/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Ведение исполнительной документации в электронном виде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5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236" w:type="dxa"/>
            <w:vMerge w:val="restart"/>
            <w:textDirection w:val="lrTb"/>
            <w:noWrap w:val="false"/>
          </w:tcPr>
          <w:p>
            <w:pPr>
              <w:pStyle w:val="785"/>
              <w:jc w:val="both"/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истема видеонаблюдения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строительной площадки (Face ID, БПЛА), видеоаналитика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5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236" w:type="dxa"/>
            <w:vMerge w:val="restart"/>
            <w:textDirection w:val="lrTb"/>
            <w:noWrap w:val="false"/>
          </w:tcPr>
          <w:p>
            <w:pPr>
              <w:pStyle w:val="785"/>
              <w:jc w:val="both"/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Применение системы искусственного интеллекта для анализа показателей, характеризующих процесс строительства, в том числе контроль соблюдения графика производства работ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5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236" w:type="dxa"/>
            <w:vMerge w:val="restart"/>
            <w:textDirection w:val="lrTb"/>
            <w:noWrap w:val="false"/>
          </w:tcPr>
          <w:p>
            <w:pPr>
              <w:pStyle w:val="785"/>
              <w:jc w:val="both"/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Создание в процессе строительства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Ц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ифрового двойника объекта капитального строительства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» с обработкой данных информационной модели и оцифрованной копии строящегося объекта системой искусственного интеллекта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pStyle w:val="785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785"/>
        <w:ind w:left="0" w:right="0" w:firstLine="567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Использование ра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зличных показателей позволяет создать всестороннюю систему оценки технологического и интеллектуального оснащения строительных компаний, их готовность к реализации строительных проектов, обеспечить планомерное цифровое развитие строительной отрасли региона.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</w:r>
    </w:p>
    <w:p>
      <w:pPr>
        <w:pStyle w:val="785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Анализ уровня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цифровизации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строительных площадок объектов капитального строительства, обработка сведений и систематизация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 данных осуществляются </w:t>
      </w:r>
      <w:r>
        <w:rPr>
          <w:rFonts w:ascii="Liberation Sans" w:hAnsi="Liberation Sans" w:cs="Liberation Sans"/>
          <w:i/>
          <w:iCs/>
          <w:color w:val="000000" w:themeColor="text1"/>
          <w:sz w:val="24"/>
          <w:szCs w:val="24"/>
          <w:highlight w:val="none"/>
        </w:rPr>
        <w:t xml:space="preserve">службой государственного строительного надзора авто</w:t>
      </w:r>
      <w:r>
        <w:rPr>
          <w:rFonts w:ascii="Liberation Sans" w:hAnsi="Liberation Sans" w:cs="Liberation Sans"/>
          <w:i/>
          <w:iCs/>
          <w:color w:val="000000" w:themeColor="text1"/>
          <w:sz w:val="24"/>
          <w:szCs w:val="24"/>
          <w:highlight w:val="none"/>
        </w:rPr>
        <w:t xml:space="preserve">номного округа,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 по согласованию, совместно с департаментом строительства и жилищной политики автономного округа в порядке, установленном отдельным региональным нормативным правовым актом.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785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Техническое оснащение строительных площадок технологическим оборудованием, подготовка специалистов осуществляются строительными компаниями, за исключением мероприятий, предусмотренных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 в рамках пилотного проекта «Цифровая стройка». При этом, технические требования к оборудованию, позволяющие реализовать показатели, предусмотренные для каждого уровня цифровизации строительной площадки объекта капитального строительства, устанавливаются 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отдельным региональным нормативным правовым актом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785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Консультационное сопровождение взаимодействия с представителями строительных компаний чере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  <w:t xml:space="preserve">з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ГИС ТОР КНД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ФГИС ПГС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  <w:t xml:space="preserve">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личный кабинет ЕПГУ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  <w:t xml:space="preserve"> осуществляется </w:t>
      </w:r>
      <w:r>
        <w:rPr>
          <w:rFonts w:ascii="Liberation Sans" w:hAnsi="Liberation Sans" w:cs="Liberation Sans"/>
          <w:i/>
          <w:iCs/>
          <w:color w:val="000000" w:themeColor="text1"/>
          <w:sz w:val="24"/>
          <w:szCs w:val="24"/>
          <w:highlight w:val="white"/>
        </w:rPr>
        <w:t xml:space="preserve">службой государственного строительного над</w:t>
      </w:r>
      <w:r>
        <w:rPr>
          <w:rFonts w:ascii="Liberation Sans" w:hAnsi="Liberation Sans" w:cs="Liberation Sans"/>
          <w:i/>
          <w:iCs/>
          <w:color w:val="000000" w:themeColor="text1"/>
          <w:sz w:val="24"/>
          <w:szCs w:val="24"/>
          <w:highlight w:val="none"/>
        </w:rPr>
        <w:t xml:space="preserve">зора автономного округа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и службами технической поддержки соответствующих систем, взаимодействия с представителями строительных компаний через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highlight w:val="white"/>
        </w:rPr>
        <w:t xml:space="preserve">ГИС УиАОД ЯНАО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 осуществляется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департаментом строительства и жилищной политики автономного округа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785"/>
        <w:ind w:left="0" w:right="0"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Данные об уровне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цифровизации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строительных площадок объектов капитального строительства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могут быть использованы для формирования рейтинга строительных компаний, осуществляющих строительство на территории автономного округа. Ведение рейтинга строительных компаний осуществляется </w:t>
      </w:r>
      <w:r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  <w:t xml:space="preserve">службой государственного строительного надзора автономного округа.</w:t>
      </w:r>
      <w:r>
        <w:rPr>
          <w:rFonts w:ascii="Liberation Sans" w:hAnsi="Liberation Sans" w:cs="Liberation Sans"/>
          <w:i/>
          <w:iCs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785"/>
        <w:ind w:firstLine="567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Рейтинг строительных компаний представляется </w:t>
      </w:r>
      <w:r>
        <w:rPr>
          <w:rFonts w:ascii="Liberation Sans" w:hAnsi="Liberation Sans" w:eastAsia="Liberation Sans" w:cs="Liberation Sans"/>
          <w:i/>
          <w:iCs/>
          <w:sz w:val="24"/>
          <w:szCs w:val="24"/>
        </w:rPr>
        <w:t xml:space="preserve">Губернатору автономного округа, заместителю Губернатора автономного округа, курирующему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highlight w:val="white"/>
        </w:rPr>
        <w:t xml:space="preserve">сферу строительства и жилищной политики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и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может быть размещен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на официальном сайте с</w:t>
      </w:r>
      <w:r>
        <w:rPr>
          <w:rFonts w:ascii="Liberation Sans" w:hAnsi="Liberation Sans" w:eastAsia="Liberation Sans" w:cs="Liberation Sans"/>
          <w:i/>
          <w:iCs/>
          <w:sz w:val="24"/>
          <w:szCs w:val="24"/>
        </w:rPr>
        <w:t xml:space="preserve">лужбы государственного строительного надзора автономного округа</w:t>
      </w:r>
      <w:r>
        <w:rPr>
          <w:rFonts w:ascii="Liberation Sans" w:hAnsi="Liberation Sans" w:eastAsia="Liberation Sans" w:cs="Liberation Sans"/>
          <w:i/>
          <w:iCs/>
          <w:sz w:val="24"/>
          <w:szCs w:val="24"/>
        </w:rPr>
        <w:t xml:space="preserve">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на иных ресурсах, в средствах массовой информации, предоставлен в организации по запросу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785"/>
        <w:jc w:val="center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jc w:val="center"/>
        <w:rPr>
          <w:rFonts w:ascii="Liberation Sans" w:hAnsi="Liberation Sans" w:cs="Liberation Sans"/>
          <w:b/>
          <w:bCs/>
          <w:sz w:val="24"/>
          <w:szCs w:val="24"/>
        </w:rPr>
        <w:outlineLvl w:val="0"/>
      </w:pP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  <w:t xml:space="preserve">5. Пилотный проект «Цифровая стройка»</w:t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jc w:val="left"/>
        <w:rPr>
          <w:rFonts w:ascii="Liberation Sans" w:hAnsi="Liberation Sans" w:cs="Liberation Sans"/>
          <w:sz w:val="24"/>
          <w:szCs w:val="24"/>
        </w:rPr>
        <w:outlineLvl w:val="0"/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966"/>
        <w:ind w:left="0" w:right="0" w:firstLine="567"/>
        <w:jc w:val="both"/>
        <w:rPr>
          <w:rFonts w:ascii="Liberation Sans" w:hAnsi="Liberation Sans" w:cs="Liberation Sans"/>
          <w:i/>
          <w:iCs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  <w:t xml:space="preserve">Мероприятия, предусмотренные в 2024-2025 г.г. в рамках пилотного проекта «Цифровая стройка», реализуются </w:t>
      </w:r>
      <w:r>
        <w:rPr>
          <w:rFonts w:ascii="Liberation Sans" w:hAnsi="Liberation Sans" w:eastAsia="Liberation Serif" w:cs="Liberation Serif"/>
          <w:b w:val="0"/>
          <w:bCs w:val="0"/>
          <w:sz w:val="24"/>
          <w:szCs w:val="24"/>
          <w:highlight w:val="none"/>
        </w:rPr>
        <w:t xml:space="preserve">на примере IT-разработок и предложений компании, имеющей технологии в области 3D сканирования пространства, создания и управления 3D-моделью объектов капитального  строительства и систем видеоаналитики, </w:t>
      </w:r>
      <w:r>
        <w:rPr>
          <w:rFonts w:ascii="Liberation Sans" w:hAnsi="Liberation Sans" w:cs="Liberation Sans"/>
          <w:sz w:val="24"/>
          <w:szCs w:val="24"/>
        </w:rPr>
        <w:t xml:space="preserve">с участием специалистов </w:t>
      </w:r>
      <w:r>
        <w:rPr>
          <w:rFonts w:ascii="Liberation Sans" w:hAnsi="Liberation Sans" w:cs="Liberation Sans"/>
          <w:i/>
          <w:iCs/>
          <w:sz w:val="24"/>
          <w:szCs w:val="24"/>
        </w:rPr>
        <w:t xml:space="preserve">службы государственного строительного надзора автономного округа, </w:t>
      </w:r>
      <w:r>
        <w:rPr>
          <w:rFonts w:ascii="Liberation Sans" w:hAnsi="Liberation Sans" w:cs="Liberation Sans"/>
          <w:i/>
          <w:iCs/>
          <w:color w:val="000000" w:themeColor="text1"/>
          <w:sz w:val="24"/>
          <w:szCs w:val="24"/>
          <w:highlight w:val="none"/>
        </w:rPr>
        <w:t xml:space="preserve">департамента строительства и жилищной политики автономного округа</w:t>
      </w:r>
      <w:r>
        <w:rPr>
          <w:rFonts w:ascii="Liberation Sans" w:hAnsi="Liberation Sans" w:cs="Liberation Sans"/>
          <w:i/>
          <w:iCs/>
          <w:sz w:val="24"/>
          <w:szCs w:val="24"/>
        </w:rPr>
        <w:t xml:space="preserve">, </w:t>
      </w:r>
      <w:r>
        <w:rPr>
          <w:rFonts w:ascii="Liberation Sans" w:hAnsi="Liberation Sans" w:cs="Liberation Sans"/>
          <w:i/>
          <w:iCs/>
          <w:color w:val="000000" w:themeColor="text1"/>
          <w:sz w:val="24"/>
          <w:szCs w:val="24"/>
          <w:highlight w:val="none"/>
        </w:rPr>
        <w:t xml:space="preserve">департамента информационных технологий и связи автономного округа</w:t>
      </w:r>
      <w:r>
        <w:rPr>
          <w:rFonts w:ascii="Liberation Sans" w:hAnsi="Liberation Sans" w:cs="Liberation Sans"/>
          <w:i/>
          <w:iCs/>
          <w:sz w:val="24"/>
          <w:szCs w:val="24"/>
        </w:rPr>
        <w:t xml:space="preserve">, государственного казённого учреждения</w:t>
      </w:r>
      <w:r>
        <w:rPr>
          <w:rFonts w:ascii="Liberation Sans" w:hAnsi="Liberation Sans" w:cs="Liberation Sans"/>
          <w:i/>
          <w:iCs/>
          <w:color w:val="000000" w:themeColor="text1"/>
          <w:sz w:val="24"/>
          <w:szCs w:val="24"/>
          <w:shd w:val="clear" w:color="auto" w:fill="f8fafc"/>
        </w:rPr>
        <w:t xml:space="preserve"> «Дирекция капитального строительства и инвестиций </w:t>
      </w:r>
      <w:r>
        <w:rPr>
          <w:rFonts w:ascii="Liberation Sans" w:hAnsi="Liberation Sans" w:cs="Liberation Sans"/>
          <w:i/>
          <w:iCs/>
          <w:sz w:val="24"/>
          <w:szCs w:val="24"/>
        </w:rPr>
        <w:t xml:space="preserve">Ямало-Ненецкого автономного округа</w:t>
      </w:r>
      <w:r>
        <w:rPr>
          <w:rFonts w:ascii="Liberation Sans" w:hAnsi="Liberation Sans" w:cs="Liberation Sans"/>
          <w:i/>
          <w:iCs/>
          <w:color w:val="000000" w:themeColor="text1"/>
          <w:sz w:val="24"/>
          <w:szCs w:val="24"/>
          <w:shd w:val="clear" w:color="auto" w:fill="f8fafc"/>
        </w:rPr>
        <w:t xml:space="preserve">»</w:t>
      </w:r>
      <w:r>
        <w:rPr>
          <w:rFonts w:ascii="Liberation Sans" w:hAnsi="Liberation Sans" w:eastAsia="Liberation Serif" w:cs="Liberation Sans"/>
          <w:b w:val="0"/>
          <w:bCs w:val="0"/>
          <w:i/>
          <w:iCs/>
          <w:sz w:val="24"/>
          <w:szCs w:val="24"/>
          <w:highlight w:val="none"/>
        </w:rPr>
        <w:t xml:space="preserve">, </w:t>
      </w:r>
      <w:r>
        <w:rPr>
          <w:rFonts w:ascii="Liberation Sans" w:hAnsi="Liberation Sans" w:cs="Liberation Sans"/>
          <w:i/>
          <w:iCs/>
          <w:sz w:val="24"/>
          <w:szCs w:val="24"/>
          <w:highlight w:val="none"/>
        </w:rPr>
        <w:t xml:space="preserve">некоммерческой организации «Фонд жилищного строительства </w:t>
      </w:r>
      <w:r>
        <w:rPr>
          <w:rFonts w:ascii="Liberation Sans" w:hAnsi="Liberation Sans" w:cs="Liberation Sans"/>
          <w:i/>
          <w:iCs/>
          <w:sz w:val="24"/>
          <w:szCs w:val="24"/>
        </w:rPr>
        <w:t xml:space="preserve">Ямало-Ненецкого автономного округа</w:t>
      </w:r>
      <w:r>
        <w:rPr>
          <w:rFonts w:ascii="Liberation Sans" w:hAnsi="Liberation Sans" w:cs="Liberation Sans"/>
          <w:i/>
          <w:iCs/>
          <w:sz w:val="24"/>
          <w:szCs w:val="24"/>
          <w:highlight w:val="none"/>
        </w:rPr>
        <w:t xml:space="preserve">»</w:t>
      </w:r>
      <w:r>
        <w:rPr>
          <w:rFonts w:ascii="Liberation Sans" w:hAnsi="Liberation Sans" w:cs="Liberation Sans"/>
          <w:i/>
          <w:iCs/>
          <w:sz w:val="24"/>
          <w:szCs w:val="24"/>
        </w:rPr>
        <w:t xml:space="preserve"> и строительных компаний.</w:t>
      </w:r>
      <w:r>
        <w:rPr>
          <w:rFonts w:ascii="Liberation Sans" w:hAnsi="Liberation Sans" w:cs="Liberation Sans"/>
          <w:i/>
          <w:iCs/>
          <w:sz w:val="24"/>
          <w:szCs w:val="24"/>
          <w:highlight w:val="none"/>
        </w:rPr>
      </w:r>
      <w:r>
        <w:rPr>
          <w:rFonts w:ascii="Liberation Sans" w:hAnsi="Liberation Sans" w:cs="Liberation Sans"/>
          <w:i/>
          <w:iCs/>
          <w:sz w:val="24"/>
          <w:szCs w:val="24"/>
          <w:highlight w:val="none"/>
        </w:rPr>
      </w:r>
    </w:p>
    <w:p>
      <w:pPr>
        <w:pStyle w:val="966"/>
        <w:ind w:left="0" w:right="0" w:firstLine="567"/>
        <w:jc w:val="both"/>
        <w:rPr>
          <w:rFonts w:ascii="Liberation Sans" w:hAnsi="Liberation Sans" w:cs="Liberation Sans"/>
          <w:sz w:val="24"/>
          <w:szCs w:val="24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Настоящий стандарт и результаты пилотного проекта «Цифровая стройка» являются основой для формирования и развития регионального законодательства в области цифровизации строительной отрасли </w:t>
      </w:r>
      <w:r>
        <w:rPr>
          <w:rFonts w:ascii="Liberation Sans" w:hAnsi="Liberation Sans" w:cs="Liberation Sans"/>
          <w:i/>
          <w:iCs/>
          <w:sz w:val="24"/>
          <w:szCs w:val="24"/>
          <w:highlight w:val="none"/>
        </w:rPr>
        <w:t xml:space="preserve">автономного округа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jc w:val="left"/>
        <w:rPr>
          <w:rFonts w:ascii="Liberation Sans" w:hAnsi="Liberation Sans" w:cs="Liberation Sans"/>
          <w:sz w:val="24"/>
          <w:szCs w:val="24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268" w:right="709" w:bottom="1134" w:left="1701" w:header="567" w:footer="22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Courier New">
    <w:panose1 w:val="02070409020205020404"/>
  </w:font>
  <w:font w:name="SimSun">
    <w:panose1 w:val="02000603000000000000"/>
  </w:font>
  <w:font w:name="Liberation Serif;Times New Roma">
    <w:panose1 w:val="020206030504050203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  <w:jc w:val="center"/>
      <w:rPr>
        <w:rFonts w:ascii="Liberation Sans" w:hAnsi="Liberation Sans" w:cs="Liberation Sans"/>
        <w:sz w:val="24"/>
        <w:szCs w:val="24"/>
      </w:rPr>
    </w:pPr>
    <w:fldSimple w:instr="PAGE \* MERGEFORMAT">
      <w:r>
        <w:rPr>
          <w:rFonts w:ascii="Liberation Sans" w:hAnsi="Liberation Sans" w:cs="Liberation Sans"/>
          <w:sz w:val="24"/>
          <w:szCs w:val="24"/>
        </w:rPr>
        <w:t xml:space="preserve">1</w:t>
      </w:r>
    </w:fldSimple>
    <w:r>
      <w:rPr>
        <w:rFonts w:ascii="Liberation Sans" w:hAnsi="Liberation Sans" w:cs="Liberation Sans"/>
        <w:sz w:val="24"/>
        <w:szCs w:val="24"/>
      </w:rPr>
    </w:r>
    <w:r>
      <w:rPr>
        <w:rFonts w:ascii="Liberation Sans" w:hAnsi="Liberation Sans" w:cs="Liberation Sans"/>
        <w:sz w:val="24"/>
        <w:szCs w:val="24"/>
      </w:rPr>
    </w:r>
    <w:r>
      <w:rPr>
        <w:rFonts w:ascii="Liberation Sans" w:hAnsi="Liberation Sans" w:cs="Liberation Sans"/>
        <w:sz w:val="24"/>
        <w:szCs w:val="24"/>
      </w:rPr>
    </w:r>
  </w:p>
  <w:p>
    <w:pPr>
      <w:pStyle w:val="79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jc w:val="center"/>
      <w:spacing w:after="0" w:line="310" w:lineRule="auto"/>
      <w:tabs>
        <w:tab w:val="clear" w:pos="4677" w:leader="none"/>
        <w:tab w:val="clear" w:pos="9355" w:leader="none"/>
      </w:tabs>
    </w:pPr>
    <w:r>
      <w:rPr>
        <w:b/>
        <w:sz w:val="36"/>
        <w:szCs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ascii="Liberation Sans" w:hAnsi="Liberation Sans" w:eastAsia="Liberation Sans" w:cs="Liberation Sans"/>
        <w:b w:val="0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ascii="Liberation Sans" w:hAnsi="Liberation Sans" w:eastAsia="Liberation Sans" w:cs="Liberation Sans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ascii="Liberation Sans" w:hAnsi="Liberation Sans" w:eastAsia="Liberation Sans" w:cs="Liberation Sans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ascii="Liberation Sans" w:hAnsi="Liberation Sans" w:eastAsia="Liberation Sans" w:cs="Liberation Sans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6">
    <w:name w:val="Heading 1"/>
    <w:link w:val="7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7">
    <w:name w:val="Heading 1 Char"/>
    <w:link w:val="766"/>
    <w:uiPriority w:val="9"/>
    <w:rPr>
      <w:rFonts w:ascii="Arial" w:hAnsi="Arial" w:eastAsia="Arial" w:cs="Arial"/>
      <w:sz w:val="40"/>
      <w:szCs w:val="40"/>
    </w:rPr>
  </w:style>
  <w:style w:type="paragraph" w:styleId="768">
    <w:name w:val="Heading 2"/>
    <w:link w:val="7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9">
    <w:name w:val="Heading 2 Char"/>
    <w:link w:val="768"/>
    <w:uiPriority w:val="9"/>
    <w:rPr>
      <w:rFonts w:ascii="Arial" w:hAnsi="Arial" w:eastAsia="Arial" w:cs="Arial"/>
      <w:sz w:val="34"/>
    </w:rPr>
  </w:style>
  <w:style w:type="paragraph" w:styleId="770">
    <w:name w:val="Heading 3"/>
    <w:link w:val="7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1">
    <w:name w:val="Heading 3 Char"/>
    <w:link w:val="770"/>
    <w:uiPriority w:val="9"/>
    <w:rPr>
      <w:rFonts w:ascii="Arial" w:hAnsi="Arial" w:eastAsia="Arial" w:cs="Arial"/>
      <w:sz w:val="30"/>
      <w:szCs w:val="30"/>
    </w:rPr>
  </w:style>
  <w:style w:type="paragraph" w:styleId="772">
    <w:name w:val="Heading 4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3">
    <w:name w:val="Heading 4 Char"/>
    <w:link w:val="772"/>
    <w:uiPriority w:val="9"/>
    <w:rPr>
      <w:rFonts w:ascii="Arial" w:hAnsi="Arial" w:eastAsia="Arial" w:cs="Arial"/>
      <w:b/>
      <w:bCs/>
      <w:sz w:val="26"/>
      <w:szCs w:val="26"/>
    </w:rPr>
  </w:style>
  <w:style w:type="paragraph" w:styleId="774">
    <w:name w:val="Heading 5"/>
    <w:link w:val="7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5">
    <w:name w:val="Heading 5 Char"/>
    <w:link w:val="774"/>
    <w:uiPriority w:val="9"/>
    <w:rPr>
      <w:rFonts w:ascii="Arial" w:hAnsi="Arial" w:eastAsia="Arial" w:cs="Arial"/>
      <w:b/>
      <w:bCs/>
      <w:sz w:val="24"/>
      <w:szCs w:val="24"/>
    </w:rPr>
  </w:style>
  <w:style w:type="paragraph" w:styleId="776">
    <w:name w:val="Heading 6"/>
    <w:link w:val="7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7">
    <w:name w:val="Heading 6 Char"/>
    <w:link w:val="776"/>
    <w:uiPriority w:val="9"/>
    <w:rPr>
      <w:rFonts w:ascii="Arial" w:hAnsi="Arial" w:eastAsia="Arial" w:cs="Arial"/>
      <w:b/>
      <w:bCs/>
      <w:sz w:val="22"/>
      <w:szCs w:val="22"/>
    </w:rPr>
  </w:style>
  <w:style w:type="paragraph" w:styleId="778">
    <w:name w:val="Heading 7"/>
    <w:link w:val="7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9">
    <w:name w:val="Heading 7 Char"/>
    <w:link w:val="7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0">
    <w:name w:val="Heading 8"/>
    <w:link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1">
    <w:name w:val="Heading 8 Char"/>
    <w:link w:val="780"/>
    <w:uiPriority w:val="9"/>
    <w:rPr>
      <w:rFonts w:ascii="Arial" w:hAnsi="Arial" w:eastAsia="Arial" w:cs="Arial"/>
      <w:i/>
      <w:iCs/>
      <w:sz w:val="22"/>
      <w:szCs w:val="22"/>
    </w:rPr>
  </w:style>
  <w:style w:type="paragraph" w:styleId="782">
    <w:name w:val="Heading 9"/>
    <w:link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>
    <w:name w:val="Heading 9 Char"/>
    <w:link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784">
    <w:name w:val="List Paragraph"/>
    <w:uiPriority w:val="34"/>
    <w:qFormat/>
    <w:pPr>
      <w:contextualSpacing/>
      <w:ind w:left="720"/>
    </w:pPr>
  </w:style>
  <w:style w:type="paragraph" w:styleId="785">
    <w:name w:val="No Spacing"/>
    <w:uiPriority w:val="1"/>
    <w:qFormat/>
    <w:pPr>
      <w:spacing w:before="0" w:after="0" w:line="240" w:lineRule="auto"/>
    </w:pPr>
  </w:style>
  <w:style w:type="paragraph" w:styleId="786">
    <w:name w:val="Title"/>
    <w:link w:val="7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7">
    <w:name w:val="Title Char"/>
    <w:link w:val="786"/>
    <w:uiPriority w:val="10"/>
    <w:rPr>
      <w:sz w:val="48"/>
      <w:szCs w:val="48"/>
    </w:rPr>
  </w:style>
  <w:style w:type="paragraph" w:styleId="788">
    <w:name w:val="Subtitle"/>
    <w:link w:val="789"/>
    <w:uiPriority w:val="11"/>
    <w:qFormat/>
    <w:pPr>
      <w:spacing w:before="200" w:after="200"/>
    </w:pPr>
    <w:rPr>
      <w:sz w:val="24"/>
      <w:szCs w:val="24"/>
    </w:rPr>
  </w:style>
  <w:style w:type="character" w:styleId="789">
    <w:name w:val="Subtitle Char"/>
    <w:link w:val="788"/>
    <w:uiPriority w:val="11"/>
    <w:rPr>
      <w:sz w:val="24"/>
      <w:szCs w:val="24"/>
    </w:rPr>
  </w:style>
  <w:style w:type="paragraph" w:styleId="790">
    <w:name w:val="Quote"/>
    <w:link w:val="791"/>
    <w:uiPriority w:val="29"/>
    <w:qFormat/>
    <w:pPr>
      <w:ind w:left="720" w:right="720"/>
    </w:pPr>
    <w:rPr>
      <w:i/>
    </w:rPr>
  </w:style>
  <w:style w:type="character" w:styleId="791">
    <w:name w:val="Quote Char"/>
    <w:link w:val="790"/>
    <w:uiPriority w:val="29"/>
    <w:rPr>
      <w:i/>
    </w:rPr>
  </w:style>
  <w:style w:type="paragraph" w:styleId="792">
    <w:name w:val="Intense Quote"/>
    <w:link w:val="7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3">
    <w:name w:val="Intense Quote Char"/>
    <w:link w:val="792"/>
    <w:uiPriority w:val="30"/>
    <w:rPr>
      <w:i/>
    </w:rPr>
  </w:style>
  <w:style w:type="paragraph" w:styleId="794">
    <w:name w:val="Header"/>
    <w:link w:val="7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5">
    <w:name w:val="Header Char"/>
    <w:link w:val="794"/>
    <w:uiPriority w:val="99"/>
  </w:style>
  <w:style w:type="paragraph" w:styleId="796">
    <w:name w:val="Footer"/>
    <w:link w:val="7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7">
    <w:name w:val="Footer Char"/>
    <w:link w:val="796"/>
    <w:uiPriority w:val="99"/>
  </w:style>
  <w:style w:type="paragraph" w:styleId="798">
    <w:name w:val="Caption"/>
    <w:link w:val="7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9">
    <w:name w:val="Caption Char"/>
    <w:basedOn w:val="798"/>
    <w:link w:val="796"/>
    <w:uiPriority w:val="99"/>
  </w:style>
  <w:style w:type="table" w:styleId="80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6">
    <w:name w:val="Hyperlink"/>
    <w:uiPriority w:val="99"/>
    <w:unhideWhenUsed/>
    <w:rPr>
      <w:color w:val="0000ff" w:themeColor="hyperlink"/>
      <w:u w:val="single"/>
    </w:rPr>
  </w:style>
  <w:style w:type="paragraph" w:styleId="927">
    <w:name w:val="footnote text"/>
    <w:link w:val="928"/>
    <w:uiPriority w:val="99"/>
    <w:semiHidden/>
    <w:unhideWhenUsed/>
    <w:pPr>
      <w:spacing w:after="40" w:line="240" w:lineRule="auto"/>
    </w:pPr>
    <w:rPr>
      <w:sz w:val="18"/>
    </w:rPr>
  </w:style>
  <w:style w:type="character" w:styleId="928">
    <w:name w:val="Footnote Text Char"/>
    <w:link w:val="927"/>
    <w:uiPriority w:val="99"/>
    <w:rPr>
      <w:sz w:val="18"/>
    </w:rPr>
  </w:style>
  <w:style w:type="character" w:styleId="929">
    <w:name w:val="footnote reference"/>
    <w:uiPriority w:val="99"/>
    <w:unhideWhenUsed/>
    <w:rPr>
      <w:vertAlign w:val="superscript"/>
    </w:rPr>
  </w:style>
  <w:style w:type="paragraph" w:styleId="930">
    <w:name w:val="endnote text"/>
    <w:link w:val="931"/>
    <w:uiPriority w:val="99"/>
    <w:semiHidden/>
    <w:unhideWhenUsed/>
    <w:pPr>
      <w:spacing w:after="0" w:line="240" w:lineRule="auto"/>
    </w:pPr>
    <w:rPr>
      <w:sz w:val="20"/>
    </w:rPr>
  </w:style>
  <w:style w:type="character" w:styleId="931">
    <w:name w:val="Endnote Text Char"/>
    <w:link w:val="930"/>
    <w:uiPriority w:val="99"/>
    <w:rPr>
      <w:sz w:val="20"/>
    </w:rPr>
  </w:style>
  <w:style w:type="character" w:styleId="932">
    <w:name w:val="endnote reference"/>
    <w:uiPriority w:val="99"/>
    <w:semiHidden/>
    <w:unhideWhenUsed/>
    <w:rPr>
      <w:vertAlign w:val="superscript"/>
    </w:rPr>
  </w:style>
  <w:style w:type="paragraph" w:styleId="933">
    <w:name w:val="toc 1"/>
    <w:uiPriority w:val="39"/>
    <w:unhideWhenUsed/>
    <w:pPr>
      <w:ind w:left="0" w:right="0" w:firstLine="0"/>
      <w:spacing w:after="57"/>
    </w:pPr>
  </w:style>
  <w:style w:type="paragraph" w:styleId="934">
    <w:name w:val="toc 2"/>
    <w:uiPriority w:val="39"/>
    <w:unhideWhenUsed/>
    <w:pPr>
      <w:ind w:left="283" w:right="0" w:firstLine="0"/>
      <w:spacing w:after="57"/>
    </w:pPr>
  </w:style>
  <w:style w:type="paragraph" w:styleId="935">
    <w:name w:val="toc 3"/>
    <w:uiPriority w:val="39"/>
    <w:unhideWhenUsed/>
    <w:pPr>
      <w:ind w:left="567" w:right="0" w:firstLine="0"/>
      <w:spacing w:after="57"/>
    </w:pPr>
  </w:style>
  <w:style w:type="paragraph" w:styleId="936">
    <w:name w:val="toc 4"/>
    <w:uiPriority w:val="39"/>
    <w:unhideWhenUsed/>
    <w:pPr>
      <w:ind w:left="850" w:right="0" w:firstLine="0"/>
      <w:spacing w:after="57"/>
    </w:pPr>
  </w:style>
  <w:style w:type="paragraph" w:styleId="937">
    <w:name w:val="toc 5"/>
    <w:uiPriority w:val="39"/>
    <w:unhideWhenUsed/>
    <w:pPr>
      <w:ind w:left="1134" w:right="0" w:firstLine="0"/>
      <w:spacing w:after="57"/>
    </w:pPr>
  </w:style>
  <w:style w:type="paragraph" w:styleId="938">
    <w:name w:val="toc 6"/>
    <w:uiPriority w:val="39"/>
    <w:unhideWhenUsed/>
    <w:pPr>
      <w:ind w:left="1417" w:right="0" w:firstLine="0"/>
      <w:spacing w:after="57"/>
    </w:pPr>
  </w:style>
  <w:style w:type="paragraph" w:styleId="939">
    <w:name w:val="toc 7"/>
    <w:uiPriority w:val="39"/>
    <w:unhideWhenUsed/>
    <w:pPr>
      <w:ind w:left="1701" w:right="0" w:firstLine="0"/>
      <w:spacing w:after="57"/>
    </w:pPr>
  </w:style>
  <w:style w:type="paragraph" w:styleId="940">
    <w:name w:val="toc 8"/>
    <w:uiPriority w:val="39"/>
    <w:unhideWhenUsed/>
    <w:pPr>
      <w:ind w:left="1984" w:right="0" w:firstLine="0"/>
      <w:spacing w:after="57"/>
    </w:pPr>
  </w:style>
  <w:style w:type="paragraph" w:styleId="941">
    <w:name w:val="toc 9"/>
    <w:uiPriority w:val="39"/>
    <w:unhideWhenUsed/>
    <w:pPr>
      <w:ind w:left="2268" w:right="0" w:firstLine="0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uiPriority w:val="99"/>
    <w:unhideWhenUsed/>
    <w:pPr>
      <w:spacing w:after="0" w:afterAutospacing="0"/>
    </w:pPr>
  </w:style>
  <w:style w:type="paragraph" w:styleId="944">
    <w:name w:val="Обычный"/>
    <w:next w:val="944"/>
    <w:link w:val="944"/>
    <w:pPr>
      <w:spacing w:after="200" w:line="276" w:lineRule="auto"/>
    </w:pPr>
    <w:rPr>
      <w:rFonts w:ascii="Times New Roman" w:hAnsi="Times New Roman"/>
      <w:sz w:val="22"/>
      <w:szCs w:val="22"/>
      <w:lang w:val="ru-RU" w:eastAsia="en-US" w:bidi="ar-SA"/>
    </w:rPr>
  </w:style>
  <w:style w:type="character" w:styleId="945">
    <w:name w:val="Основной шрифт абзаца"/>
    <w:next w:val="945"/>
    <w:link w:val="944"/>
    <w:semiHidden/>
  </w:style>
  <w:style w:type="table" w:styleId="946">
    <w:name w:val="Обычная таблица"/>
    <w:next w:val="946"/>
    <w:link w:val="944"/>
    <w:semiHidden/>
    <w:tblPr/>
  </w:style>
  <w:style w:type="numbering" w:styleId="947">
    <w:name w:val="Нет списка"/>
    <w:next w:val="947"/>
    <w:link w:val="944"/>
    <w:semiHidden/>
  </w:style>
  <w:style w:type="table" w:styleId="948">
    <w:name w:val="Сетка таблицы"/>
    <w:basedOn w:val="946"/>
    <w:next w:val="948"/>
    <w:link w:val="944"/>
    <w:pPr>
      <w:spacing w:after="0" w:line="240" w:lineRule="auto"/>
    </w:pPr>
    <w:tblPr/>
  </w:style>
  <w:style w:type="paragraph" w:styleId="949">
    <w:name w:val="Название"/>
    <w:basedOn w:val="944"/>
    <w:next w:val="944"/>
    <w:link w:val="950"/>
    <w:pPr>
      <w:contextualSpacing/>
      <w:jc w:val="center"/>
      <w:spacing w:after="0" w:line="240" w:lineRule="auto"/>
    </w:pPr>
    <w:rPr>
      <w:rFonts w:eastAsia="Times New Roman"/>
      <w:b/>
      <w:spacing w:val="-10"/>
      <w:sz w:val="32"/>
      <w:szCs w:val="56"/>
    </w:rPr>
  </w:style>
  <w:style w:type="character" w:styleId="950">
    <w:name w:val="Название Знак"/>
    <w:next w:val="950"/>
    <w:link w:val="949"/>
    <w:rPr>
      <w:rFonts w:ascii="Times New Roman" w:hAnsi="Times New Roman" w:eastAsia="Times New Roman"/>
      <w:b/>
      <w:spacing w:val="-10"/>
      <w:sz w:val="32"/>
      <w:szCs w:val="56"/>
    </w:rPr>
  </w:style>
  <w:style w:type="paragraph" w:styleId="951">
    <w:name w:val="Верхний колонтитул"/>
    <w:basedOn w:val="944"/>
    <w:next w:val="951"/>
    <w:link w:val="952"/>
    <w:pPr>
      <w:tabs>
        <w:tab w:val="center" w:pos="4677" w:leader="none"/>
        <w:tab w:val="right" w:pos="9355" w:leader="none"/>
      </w:tabs>
    </w:pPr>
  </w:style>
  <w:style w:type="character" w:styleId="952">
    <w:name w:val="Верхний колонтитул Знак"/>
    <w:next w:val="952"/>
    <w:link w:val="951"/>
    <w:rPr>
      <w:rFonts w:ascii="Times New Roman" w:hAnsi="Times New Roman"/>
      <w:sz w:val="22"/>
      <w:szCs w:val="22"/>
      <w:lang w:eastAsia="en-US"/>
    </w:rPr>
  </w:style>
  <w:style w:type="paragraph" w:styleId="953">
    <w:name w:val="Нижний колонтитул"/>
    <w:basedOn w:val="944"/>
    <w:next w:val="953"/>
    <w:link w:val="954"/>
    <w:pPr>
      <w:tabs>
        <w:tab w:val="center" w:pos="4677" w:leader="none"/>
        <w:tab w:val="right" w:pos="9355" w:leader="none"/>
      </w:tabs>
    </w:pPr>
  </w:style>
  <w:style w:type="character" w:styleId="954">
    <w:name w:val="Нижний колонтитул Знак"/>
    <w:next w:val="954"/>
    <w:link w:val="953"/>
    <w:rPr>
      <w:rFonts w:ascii="Times New Roman" w:hAnsi="Times New Roman"/>
      <w:sz w:val="22"/>
      <w:szCs w:val="22"/>
      <w:lang w:eastAsia="en-US"/>
    </w:rPr>
  </w:style>
  <w:style w:type="paragraph" w:styleId="955">
    <w:name w:val="Подзаголовок"/>
    <w:basedOn w:val="944"/>
    <w:next w:val="955"/>
    <w:link w:val="956"/>
    <w:pPr>
      <w:ind w:firstLine="720"/>
      <w:jc w:val="center"/>
      <w:spacing w:after="0" w:line="240" w:lineRule="auto"/>
    </w:pPr>
    <w:rPr>
      <w:rFonts w:eastAsia="Times New Roman"/>
      <w:b/>
      <w:sz w:val="24"/>
      <w:szCs w:val="20"/>
      <w:lang w:eastAsia="ru-RU"/>
    </w:rPr>
  </w:style>
  <w:style w:type="character" w:styleId="956">
    <w:name w:val="Подзаголовок Знак"/>
    <w:next w:val="956"/>
    <w:link w:val="955"/>
    <w:rPr>
      <w:rFonts w:ascii="Times New Roman" w:hAnsi="Times New Roman" w:eastAsia="Times New Roman"/>
      <w:b/>
      <w:sz w:val="24"/>
    </w:rPr>
  </w:style>
  <w:style w:type="paragraph" w:styleId="957">
    <w:name w:val="Текст выноски"/>
    <w:basedOn w:val="944"/>
    <w:next w:val="957"/>
    <w:link w:val="958"/>
    <w:semiHidden/>
    <w:pPr>
      <w:spacing w:after="0" w:line="240" w:lineRule="auto"/>
    </w:pPr>
    <w:rPr>
      <w:rFonts w:ascii="Segoe UI" w:hAnsi="Segoe UI"/>
      <w:sz w:val="18"/>
      <w:szCs w:val="18"/>
    </w:rPr>
  </w:style>
  <w:style w:type="character" w:styleId="958">
    <w:name w:val="Текст выноски Знак"/>
    <w:next w:val="958"/>
    <w:link w:val="957"/>
    <w:semiHidden/>
    <w:rPr>
      <w:rFonts w:ascii="Segoe UI" w:hAnsi="Segoe UI"/>
      <w:sz w:val="18"/>
      <w:szCs w:val="18"/>
      <w:lang w:eastAsia="en-US"/>
    </w:rPr>
  </w:style>
  <w:style w:type="character" w:styleId="959" w:default="1">
    <w:name w:val="Default Paragraph Font"/>
    <w:uiPriority w:val="1"/>
    <w:semiHidden/>
    <w:unhideWhenUsed/>
  </w:style>
  <w:style w:type="numbering" w:styleId="960" w:default="1">
    <w:name w:val="No List"/>
    <w:uiPriority w:val="99"/>
    <w:semiHidden/>
    <w:unhideWhenUsed/>
  </w:style>
  <w:style w:type="paragraph" w:styleId="961" w:default="1">
    <w:name w:val="Normal"/>
    <w:qFormat/>
  </w:style>
  <w:style w:type="table" w:styleId="962" w:default="1">
    <w:name w:val="Normal Table"/>
    <w:uiPriority w:val="99"/>
    <w:semiHidden/>
    <w:unhideWhenUsed/>
    <w:tblPr/>
  </w:style>
  <w:style w:type="paragraph" w:styleId="963" w:customStyle="1">
    <w:name w:val="Абзац списка"/>
    <w:basedOn w:val="925"/>
    <w:next w:val="939"/>
    <w:link w:val="925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</w:rPr>
  </w:style>
  <w:style w:type="paragraph" w:styleId="964" w:customStyle="1">
    <w:name w:val="Bespoke Basic"/>
    <w:basedOn w:val="901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100" w:lineRule="atLeas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Liberation Serif;Times New Roma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hi-IN"/>
      <w14:ligatures w14:val="none"/>
    </w:rPr>
  </w:style>
  <w:style w:type="paragraph" w:styleId="965" w:customStyle="1">
    <w:name w:val="Таблицы (моноширинный)"/>
    <w:basedOn w:val="910"/>
    <w:next w:val="910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6" w:customStyle="1">
    <w:name w:val="Без интервала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eastAsia="Times New Roman" w:cs="Times New Roman" w:asciiTheme="minorHAnsi" w:hAnsi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lvkulibaba</cp:lastModifiedBy>
  <cp:revision>50</cp:revision>
  <dcterms:modified xsi:type="dcterms:W3CDTF">2025-12-22T06:09:41Z</dcterms:modified>
</cp:coreProperties>
</file>